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مواصفات متطلبات البرمجيات</w:t>
      </w:r>
    </w:p>
    <w:p>
      <w:pPr>
        <w:bidi/>
        <w:spacing w:after="300" w:line="300"/>
        <w:jc w:val="right"/>
      </w:pPr>
      <w:r>
        <w:rPr>
          <w:rFonts w:ascii="Arial" w:cs="Arial" w:eastAsia="Arial" w:hAnsi="Arial"/>
          <w:color w:val="4B5565"/>
          <w:sz w:val="22"/>
          <w:szCs w:val="22"/>
          <w:rtl/>
        </w:rPr>
        <w:t xml:space="preserve">خط الأساس كما بُني: متطلبات وظيفية مرقّمة وغير وظيفية قابلة للقياس، تُطوَّر منها المواصفات التفصيلية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1.1 (خط أساس، يحل محل 1.0)</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13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المصدر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نموذج حالات الاستخدام 2.1، وأهداف الخدمة المعتمدة، ونموذج السعة، وبوابات الإطلاق، والكود بعد الالتزام c7528af (ملفات القاعدة حتى 1112)</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المحتوى</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220 متطلباً وظيفياً و32 متطلباً غير وظيفي؛ ومصفوفة التتبع في ملف Excel مرافق</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المرجع</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بنية المعيار ISO/IEC/IEEE 29148</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المقدمة</w:t>
      </w:r>
    </w:p>
    <w:p>
      <w:pPr>
        <w:pStyle w:val="Heading2"/>
        <w:keepNext/>
        <w:bidi/>
        <w:spacing w:after="100" w:before="240"/>
        <w:jc w:val="right"/>
      </w:pPr>
      <w:r>
        <w:rPr>
          <w:rFonts w:ascii="Arial" w:cs="Arial" w:eastAsia="Arial" w:hAnsi="Arial"/>
          <w:b/>
          <w:bCs/>
          <w:color w:val="0A5BD3"/>
          <w:sz w:val="24"/>
          <w:szCs w:val="24"/>
          <w:rtl/>
        </w:rPr>
        <w:t xml:space="preserve">1.1 الغرض</w:t>
      </w:r>
    </w:p>
    <w:p>
      <w:pPr>
        <w:bidi/>
        <w:spacing w:after="120" w:line="300"/>
        <w:jc w:val="right"/>
      </w:pPr>
      <w:r>
        <w:rPr>
          <w:rFonts w:ascii="Arial" w:cs="Arial" w:eastAsia="Arial" w:hAnsi="Arial"/>
          <w:color w:val="0F1B2D"/>
          <w:sz w:val="21"/>
          <w:szCs w:val="21"/>
          <w:rtl/>
        </w:rPr>
        <w:t xml:space="preserve">تجمع هذه الوثيقة متطلبات منصة مسلك في قائمة واحدة مرقّمة، يُتتبع كل متطلب فيها إلى حالة استخدام وعملية ودليل في النظام واختبار. وهي خط أساس مستخرج من النظام المبني ومن قرارات المالك المعتمدة، لا قائمة رغبات: ما بُني موصوف كما هو، وما لم يُبنَ مذكور بحالته.</w:t>
      </w:r>
    </w:p>
    <w:p>
      <w:pPr>
        <w:bidi/>
        <w:spacing w:after="120" w:line="300"/>
        <w:jc w:val="right"/>
      </w:pPr>
      <w:r>
        <w:rPr>
          <w:rFonts w:ascii="Arial" w:cs="Arial" w:eastAsia="Arial" w:hAnsi="Arial"/>
          <w:color w:val="0F1B2D"/>
          <w:sz w:val="21"/>
          <w:szCs w:val="21"/>
          <w:rtl/>
        </w:rPr>
        <w:t xml:space="preserve">ما الجديد في الإصدار 1.1: تتبع المتطلبات حالة البناء في نموذج حالات الاستخدام 2.1، فتغيّرت حالة ما بُني في ملفات القاعدة 1100 إلى 1112 وأولويته (تنبيهات التتبع، والاستغاثة والحوادث، وإلغاء الناقل لرحلة، والولاء وشركاؤه، والفواتير الإلكترونية وضرائبها، ومحطات الصعود)، وأُضيفت المتطلبات FR-11.15 إلى FR-11.17، والمتطلبان غير الوظيفيين NFR-31 وNFR-32، وتغيّرت واجهات الهيئة الضريبية ومتطلبات البيانات.</w:t>
      </w:r>
    </w:p>
    <w:p>
      <w:pPr>
        <w:pStyle w:val="Heading2"/>
        <w:keepNext/>
        <w:bidi/>
        <w:spacing w:after="100" w:before="240"/>
        <w:jc w:val="right"/>
      </w:pPr>
      <w:r>
        <w:rPr>
          <w:rFonts w:ascii="Arial" w:cs="Arial" w:eastAsia="Arial" w:hAnsi="Arial"/>
          <w:b/>
          <w:bCs/>
          <w:color w:val="0A5BD3"/>
          <w:sz w:val="24"/>
          <w:szCs w:val="24"/>
          <w:rtl/>
        </w:rPr>
        <w:t xml:space="preserve">1.2 النطاق</w:t>
      </w:r>
    </w:p>
    <w:p>
      <w:pPr>
        <w:bidi/>
        <w:spacing w:after="120" w:line="300"/>
        <w:jc w:val="right"/>
      </w:pPr>
      <w:r>
        <w:rPr>
          <w:rFonts w:ascii="Arial" w:cs="Arial" w:eastAsia="Arial" w:hAnsi="Arial"/>
          <w:color w:val="0F1B2D"/>
          <w:sz w:val="21"/>
          <w:szCs w:val="21"/>
          <w:rtl/>
        </w:rPr>
        <w:t xml:space="preserve">منصة وطنية للنقل البري والشحن: حجز الرحلات المجدولة والدفع والصعود، وعمليات الناقلين والسائقين، والوكالات وواجهة التكامل، والإدارة والمالية والامتثال، ومحطات الصعود وصورة الصعود، والوحدات المبنية للمراحل اللاحقة (النقل المكوكي، الشحن، التاكسي، الإيجار، الشحن الثقيل، النقل المدرسي وغيرها).</w:t>
      </w:r>
    </w:p>
    <w:p>
      <w:pPr>
        <w:pStyle w:val="Heading2"/>
        <w:keepNext/>
        <w:bidi/>
        <w:spacing w:after="100" w:before="240"/>
        <w:jc w:val="right"/>
      </w:pPr>
      <w:r>
        <w:rPr>
          <w:rFonts w:ascii="Arial" w:cs="Arial" w:eastAsia="Arial" w:hAnsi="Arial"/>
          <w:b/>
          <w:bCs/>
          <w:color w:val="0A5BD3"/>
          <w:sz w:val="24"/>
          <w:szCs w:val="24"/>
          <w:rtl/>
        </w:rPr>
        <w:t xml:space="preserve">1.3 طريقة القراءة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الرقم: </w:t>
      </w:r>
      <w:r>
        <w:rPr>
          <w:rFonts w:ascii="Arial" w:cs="Arial" w:eastAsia="Arial" w:hAnsi="Arial"/>
          <w:color w:val="0F1B2D"/>
          <w:sz w:val="21"/>
          <w:szCs w:val="21"/>
          <w:rtl/>
        </w:rPr>
        <w:t xml:space="preserve">FR-01.04 يقابل حالة الاستخدام UC-1.4 في مخططات حالات الاستخدام 2.1؛ فالرقم نفسه يربط المتطلب بمخططه ومواصفته.</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الأولوية: </w:t>
      </w:r>
      <w:r>
        <w:rPr>
          <w:rFonts w:ascii="Arial" w:cs="Arial" w:eastAsia="Arial" w:hAnsi="Arial"/>
          <w:color w:val="0F1B2D"/>
          <w:sz w:val="21"/>
          <w:szCs w:val="21"/>
          <w:rtl/>
        </w:rPr>
        <w:t xml:space="preserve">«الإطلاق» لما يلزم عند بدء التشغيل؛ «مرحلة لاحقة» لما بُني وتبدأ المنصة ومفتاحه مغلق؛ «يحدده المالك» لما لم يُبنَ ولم يُقرر موعده.</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الحالة والمصدر: </w:t>
      </w:r>
      <w:r>
        <w:rPr>
          <w:rFonts w:ascii="Arial" w:cs="Arial" w:eastAsia="Arial" w:hAnsi="Arial"/>
          <w:color w:val="0F1B2D"/>
          <w:sz w:val="21"/>
          <w:szCs w:val="21"/>
          <w:rtl/>
        </w:rPr>
        <w:t xml:space="preserve">حالة البناء والدليل كما في وثيقة حالات الاستخدام 2.1.</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معايير القبول: </w:t>
      </w:r>
      <w:r>
        <w:rPr>
          <w:rFonts w:ascii="Arial" w:cs="Arial" w:eastAsia="Arial" w:hAnsi="Arial"/>
          <w:color w:val="0F1B2D"/>
          <w:sz w:val="21"/>
          <w:szCs w:val="21"/>
          <w:rtl/>
        </w:rPr>
        <w:t xml:space="preserve">في خطة الاختبار والقبول (السيناريوهات) وكتالوج قواعد الأعمال (القواعد ورموزها).</w:t>
      </w:r>
    </w:p>
    <w:p>
      <w:pPr>
        <w:pStyle w:val="Heading2"/>
        <w:keepNext/>
        <w:bidi/>
        <w:spacing w:after="100" w:before="240"/>
        <w:jc w:val="right"/>
      </w:pPr>
      <w:r>
        <w:rPr>
          <w:rFonts w:ascii="Arial" w:cs="Arial" w:eastAsia="Arial" w:hAnsi="Arial"/>
          <w:b/>
          <w:bCs/>
          <w:color w:val="0A5BD3"/>
          <w:sz w:val="24"/>
          <w:szCs w:val="24"/>
          <w:rtl/>
        </w:rPr>
        <w:t xml:space="preserve">1.4 المراجع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تقدمه لهذه المواصفات</w:t>
            </w:r>
          </w:p>
        </w:tc>
      </w:tr>
      <w:tr>
        <w:trPr>
          <w:cantSplit/>
        </w:trPr>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دراسة التحليل والتصميم 3.4</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المتطلبات بأقسامها السردية وخلفية الأعمال</w:t>
            </w:r>
          </w:p>
        </w:tc>
      </w:tr>
      <w:tr>
        <w:trPr>
          <w:cantSplit/>
        </w:trPr>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مخططات حالات الاستخدام وتدفق البيانات 2.1</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الفاعلون وحالات الاستخدام وحالة بنائها والعمليات والمخازن</w:t>
            </w:r>
          </w:p>
        </w:tc>
      </w:tr>
      <w:tr>
        <w:trPr>
          <w:cantSplit/>
        </w:trPr>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نماذج سلوك النظام 1.1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الحالات والتسلسل والنشاط</w:t>
            </w:r>
          </w:p>
        </w:tc>
      </w:tr>
      <w:tr>
        <w:trPr>
          <w:cantSplit/>
        </w:trPr>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كتالوج قواعد الأعمال 1.1</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القواعد المفروضة ورموز أخطائها</w:t>
            </w:r>
          </w:p>
        </w:tc>
      </w:tr>
      <w:tr>
        <w:trPr>
          <w:cantSplit/>
        </w:trPr>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خطة الاختبار والقبول 1.1</w:t>
            </w:r>
          </w:p>
        </w:tc>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سيناريوهات القبول ومعاييره</w:t>
            </w:r>
          </w:p>
        </w:tc>
      </w:tr>
      <w:tr>
        <w:trPr>
          <w:cantSplit/>
        </w:trPr>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SLO.md، CAPACITY_MODEL.md، LAUNCH_GATES.md، INFRASTRUCTURE_REQUIREMENTS.md</w:t>
            </w:r>
          </w:p>
        </w:tc>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الأهداف غير الوظيفية وطرق قياسها</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الوصف العام</w:t>
      </w:r>
    </w:p>
    <w:p>
      <w:pPr>
        <w:pStyle w:val="Heading2"/>
        <w:keepNext/>
        <w:bidi/>
        <w:spacing w:after="100" w:before="240"/>
        <w:jc w:val="right"/>
      </w:pPr>
      <w:r>
        <w:rPr>
          <w:rFonts w:ascii="Arial" w:cs="Arial" w:eastAsia="Arial" w:hAnsi="Arial"/>
          <w:b/>
          <w:bCs/>
          <w:color w:val="0A5BD3"/>
          <w:sz w:val="24"/>
          <w:szCs w:val="24"/>
          <w:rtl/>
        </w:rPr>
        <w:t xml:space="preserve">2.1 منظور المنتج</w:t>
      </w:r>
    </w:p>
    <w:p>
      <w:pPr>
        <w:bidi/>
        <w:spacing w:after="120" w:line="300"/>
        <w:jc w:val="right"/>
      </w:pPr>
      <w:r>
        <w:rPr>
          <w:rFonts w:ascii="Arial" w:cs="Arial" w:eastAsia="Arial" w:hAnsi="Arial"/>
          <w:color w:val="0F1B2D"/>
          <w:sz w:val="21"/>
          <w:szCs w:val="21"/>
          <w:rtl/>
        </w:rPr>
        <w:t xml:space="preserve">نظام واحد بقاعدة بيانات PostgreSQL وخادم FastAPI وواجهة ويب وتطبيقي جوال (المسافر والسائق)، مع قاعدة منفصلة لمواقع المركبات، ومستودع تحليلي، وتخزين كائنات للملفات. يدخل المستخدمون من بوابات منفصلة: المسافر، الناقل، السائق، الوكالة، المنصة، المفتش، المحطة. وتعمل الوحدات بمفاتيح: الوحدة المغلقة تختفي من البوابات وترفض مساراتها، وتبقى بياناتها.</w:t>
      </w:r>
    </w:p>
    <w:p>
      <w:pPr>
        <w:pStyle w:val="Heading2"/>
        <w:keepNext/>
        <w:bidi/>
        <w:spacing w:after="100" w:before="240"/>
        <w:jc w:val="right"/>
      </w:pPr>
      <w:r>
        <w:rPr>
          <w:rFonts w:ascii="Arial" w:cs="Arial" w:eastAsia="Arial" w:hAnsi="Arial"/>
          <w:b/>
          <w:bCs/>
          <w:color w:val="0A5BD3"/>
          <w:sz w:val="24"/>
          <w:szCs w:val="24"/>
          <w:rtl/>
        </w:rPr>
        <w:t xml:space="preserve">2.2 فئات المستخدمين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الفئة</w:t>
            </w:r>
          </w:p>
        </w:tc>
        <w:tc>
          <w:tcPr>
            <w:tcW w:type="dxa" w:w="674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الفاعلون في النموذج</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العملاء</w:t>
            </w:r>
          </w:p>
        </w:tc>
        <w:tc>
          <w:tcPr>
            <w:tcW w:type="dxa" w:w="674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الزائر، المسافر، رب العائلة وأفرادها، راكب الخطوط المكوكية، المرسل والمستلم</w:t>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الناقلون وطواقمهم</w:t>
            </w:r>
          </w:p>
        </w:tc>
        <w:tc>
          <w:tcPr>
            <w:tcW w:type="dxa" w:w="674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مالك الحساب، منظم الرحلات، المحاسب، السائق، موظف الكاونتر</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الوكالات والشركاء</w:t>
            </w:r>
          </w:p>
        </w:tc>
        <w:tc>
          <w:tcPr>
            <w:tcW w:type="dxa" w:w="674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الوكالة، عملاء التكامل، شركاء الخدمات والولاء</w:t>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شركات تشغيل المحطات</w:t>
            </w:r>
          </w:p>
        </w:tc>
        <w:tc>
          <w:tcPr>
            <w:tcW w:type="dxa" w:w="674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موظفو شركة التشغيل في بوابة المحطة</w:t>
            </w:r>
          </w:p>
        </w:tc>
      </w:tr>
      <w:tr>
        <w:trPr>
          <w:cantSplit/>
        </w:trPr>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موظفو المنصة</w:t>
            </w:r>
          </w:p>
        </w:tc>
        <w:tc>
          <w:tcPr>
            <w:tcW w:type="dxa" w:w="674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الإدارة، المالية، الدعم، الامتثال، الخصوصية، الأمن، حماية البيانات</w:t>
            </w:r>
          </w:p>
        </w:tc>
      </w:tr>
      <w:tr>
        <w:trPr>
          <w:cantSplit/>
        </w:trPr>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الجهات</w:t>
            </w:r>
          </w:p>
        </w:tc>
        <w:tc>
          <w:tcPr>
            <w:tcW w:type="dxa" w:w="674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الرقابية، المفتش، الجهات الأمنية وأنظمة الحدود</w:t>
            </w:r>
          </w:p>
        </w:tc>
      </w:tr>
    </w:tbl>
    <w:p>
      <w:pPr>
        <w:pStyle w:val="Heading2"/>
        <w:keepNext/>
        <w:bidi/>
        <w:spacing w:after="100" w:before="240"/>
        <w:jc w:val="right"/>
      </w:pPr>
      <w:r>
        <w:rPr>
          <w:rFonts w:ascii="Arial" w:cs="Arial" w:eastAsia="Arial" w:hAnsi="Arial"/>
          <w:b/>
          <w:bCs/>
          <w:color w:val="0A5BD3"/>
          <w:sz w:val="24"/>
          <w:szCs w:val="24"/>
          <w:rtl/>
        </w:rPr>
        <w:t xml:space="preserve">2.3 القيود</w:t>
      </w:r>
    </w:p>
    <w:p>
      <w:pPr>
        <w:pStyle w:val="ListParagraph"/>
        <w:numPr>
          <w:ilvl w:val="0"/>
          <w:numId w:val="2"/>
        </w:numPr>
        <w:bidi/>
        <w:spacing w:after="80" w:line="290"/>
        <w:jc w:val="right"/>
      </w:pPr>
      <w:r>
        <w:rPr>
          <w:rFonts w:ascii="Arial" w:cs="Arial" w:eastAsia="Arial" w:hAnsi="Arial"/>
          <w:color w:val="0F1B2D"/>
          <w:sz w:val="21"/>
          <w:szCs w:val="21"/>
          <w:rtl/>
        </w:rPr>
        <w:t xml:space="preserve">البيانات والمال تحت قواعد القاعدة نفسها: لا مسار يتجاوز العزل أو توازن الدفتر أو فصل المهام.</w:t>
      </w:r>
    </w:p>
    <w:p>
      <w:pPr>
        <w:pStyle w:val="ListParagraph"/>
        <w:numPr>
          <w:ilvl w:val="0"/>
          <w:numId w:val="2"/>
        </w:numPr>
        <w:bidi/>
        <w:spacing w:after="80" w:line="290"/>
        <w:jc w:val="right"/>
      </w:pPr>
      <w:r>
        <w:rPr>
          <w:rFonts w:ascii="Arial" w:cs="Arial" w:eastAsia="Arial" w:hAnsi="Arial"/>
          <w:color w:val="0F1B2D"/>
          <w:sz w:val="21"/>
          <w:szCs w:val="21"/>
          <w:rtl/>
        </w:rPr>
        <w:t xml:space="preserve">الكود والبيانات والوثائق التقنية بالإنجليزية، والعربية في ملفات الترجمة؛ والوثائق المسلّمة للمالك بالعربية.</w:t>
      </w:r>
    </w:p>
    <w:p>
      <w:pPr>
        <w:pStyle w:val="ListParagraph"/>
        <w:numPr>
          <w:ilvl w:val="0"/>
          <w:numId w:val="2"/>
        </w:numPr>
        <w:bidi/>
        <w:spacing w:after="80" w:line="290"/>
        <w:jc w:val="right"/>
      </w:pPr>
      <w:r>
        <w:rPr>
          <w:rFonts w:ascii="Arial" w:cs="Arial" w:eastAsia="Arial" w:hAnsi="Arial"/>
          <w:color w:val="0F1B2D"/>
          <w:sz w:val="21"/>
          <w:szCs w:val="21"/>
          <w:rtl/>
        </w:rPr>
        <w:t xml:space="preserve">الميزات الحساسة (صورة الصعود، المساعد الذكي) لا تُفتح دون أساس قانوني أو تقييم أثر معتمد.</w:t>
      </w:r>
    </w:p>
    <w:p>
      <w:pPr>
        <w:pStyle w:val="Heading2"/>
        <w:keepNext/>
        <w:bidi/>
        <w:spacing w:after="100" w:before="240"/>
        <w:jc w:val="right"/>
      </w:pPr>
      <w:r>
        <w:rPr>
          <w:rFonts w:ascii="Arial" w:cs="Arial" w:eastAsia="Arial" w:hAnsi="Arial"/>
          <w:b/>
          <w:bCs/>
          <w:color w:val="0A5BD3"/>
          <w:sz w:val="24"/>
          <w:szCs w:val="24"/>
          <w:rtl/>
        </w:rPr>
        <w:t xml:space="preserve">2.4 الافتراضات والاعتماديات</w:t>
      </w:r>
    </w:p>
    <w:p>
      <w:pPr>
        <w:pStyle w:val="ListParagraph"/>
        <w:numPr>
          <w:ilvl w:val="0"/>
          <w:numId w:val="2"/>
        </w:numPr>
        <w:bidi/>
        <w:spacing w:after="80" w:line="290"/>
        <w:jc w:val="right"/>
      </w:pPr>
      <w:r>
        <w:rPr>
          <w:rFonts w:ascii="Arial" w:cs="Arial" w:eastAsia="Arial" w:hAnsi="Arial"/>
          <w:color w:val="0F1B2D"/>
          <w:sz w:val="21"/>
          <w:szCs w:val="21"/>
          <w:rtl/>
        </w:rPr>
        <w:t xml:space="preserve">عقود مزودي الدفع والرسائل والتحقق من الهوية، وقيم الجهات (نافذة الصعود، التراخيص)، والمستند القانوني للصورة: مدخلات من المالك مذكورة في سجل الوثائق.</w:t>
      </w:r>
    </w:p>
    <w:p>
      <w:pPr>
        <w:pStyle w:val="ListParagraph"/>
        <w:numPr>
          <w:ilvl w:val="0"/>
          <w:numId w:val="2"/>
        </w:numPr>
        <w:bidi/>
        <w:spacing w:after="80" w:line="290"/>
        <w:jc w:val="right"/>
      </w:pPr>
      <w:r>
        <w:rPr>
          <w:rFonts w:ascii="Arial" w:cs="Arial" w:eastAsia="Arial" w:hAnsi="Arial"/>
          <w:color w:val="0F1B2D"/>
          <w:sz w:val="21"/>
          <w:szCs w:val="21"/>
          <w:rtl/>
        </w:rPr>
        <w:t xml:space="preserve">بيئة ما قبل الإنتاج ببيانات بحجم الإنتاج لقياس الأداء والتمارين.</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المتطلبات الوظيفية</w:t>
      </w:r>
    </w:p>
    <w:p>
      <w:pPr>
        <w:bidi/>
        <w:spacing w:after="120" w:line="300"/>
        <w:jc w:val="right"/>
      </w:pPr>
      <w:r>
        <w:rPr>
          <w:rFonts w:ascii="Arial" w:cs="Arial" w:eastAsia="Arial" w:hAnsi="Arial"/>
          <w:color w:val="0F1B2D"/>
          <w:sz w:val="21"/>
          <w:szCs w:val="21"/>
          <w:rtl/>
        </w:rPr>
        <w:t xml:space="preserve">220 متطلباً، واحد لكل حالة استخدام. ما يُنفَّذ ضمن حالة أخرى مذكور بالحالة الأم. توزيع الأولوية: الإطلاق 128، مرحلة لاحقة 87، يحدده المالك 5.</w:t>
      </w:r>
    </w:p>
    <w:p>
      <w:pPr>
        <w:pStyle w:val="Heading2"/>
        <w:keepNext/>
        <w:bidi/>
        <w:spacing w:after="100" w:before="240"/>
        <w:jc w:val="right"/>
      </w:pPr>
      <w:r>
        <w:rPr>
          <w:rFonts w:ascii="Arial" w:cs="Arial" w:eastAsia="Arial" w:hAnsi="Arial"/>
          <w:b/>
          <w:bCs/>
          <w:color w:val="0A5BD3"/>
          <w:sz w:val="24"/>
          <w:szCs w:val="24"/>
          <w:rtl/>
        </w:rPr>
        <w:t xml:space="preserve">3.1 حجز الرحلات المجدولة (UC-1)</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البحث عن الرحلات ومقارنتها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زائر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تفاصيل الرحلة وخريطة المقاعد</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زائر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test_seat_layouts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التسجيل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زائر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رحلة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المقاعد مؤقتاً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FR-01.04</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test_sign_in_and_operations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بيانات المسافرين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FR-01.04</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التدقيق الأمني للمسافرين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دفع قيمة الحجز</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استبدال النقاط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FR-01.08</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شحن المحفظة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 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التذكرة ورمز QR المتغير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الإلغاء والاسترداد</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test_money_boundaries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FR-01.13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تقييم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FR-01.14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تقديم شكوى أو مطالبة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3.2 النقل المكوكي (UC-2)</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إبقاء الموقع والبلوتوث مفعّلين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FR-02.02</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الصعود بمسح ملصق المركبة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الصعود عبر بوابة QR أو NFC</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 جهاز بوابة الصعود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دفع المقطع الأول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FR-02.02</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عن المرافقين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FR-02.02</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رفض الصعود لامتلاء المركبة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FR-02.02</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المتابعة إلى المحطة التالية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خصم المقطع التالي</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FR-02.07</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التنبيه إلى انخفاض الرصيد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مزودو الإشعارات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إثبات النزول برمز المحطة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اكتشاف النزول آلياً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النظام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التذكرة النشطة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 المفتش</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FR-02.13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الاعتراض على خصم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FR-02.14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بث رمز وجود الرحلة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FR-02.15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أجرة نقدية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FR-02.16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مراقبة الصعود والسعة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FR-02.17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شراء اشتراك والحصول على بطاقة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راكب الخطوط المكوكية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test_workflows</w:t>
            </w:r>
          </w:p>
        </w:tc>
      </w:tr>
    </w:tbl>
    <w:p>
      <w:pPr>
        <w:pStyle w:val="Heading2"/>
        <w:keepNext/>
        <w:bidi/>
        <w:spacing w:after="100" w:before="240"/>
        <w:jc w:val="right"/>
      </w:pPr>
      <w:r>
        <w:rPr>
          <w:rFonts w:ascii="Arial" w:cs="Arial" w:eastAsia="Arial" w:hAnsi="Arial"/>
          <w:b/>
          <w:bCs/>
          <w:color w:val="0A5BD3"/>
          <w:sz w:val="24"/>
          <w:szCs w:val="24"/>
          <w:rtl/>
        </w:rPr>
        <w:t xml:space="preserve">3.3 عمليات الناقل (UC-3)</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الشركة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test_documents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الشركة واعتمادها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المستخدمين والأدوار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الأسطول والتراخيص</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التراخيص</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أنظمة الترخيص الحكومية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السائقين والمرافقين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تعريف المسارات والمحطات والأسعار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جدولة الرحلات</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اكتمال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FR-03.08</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نشر الرحلات</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إسناد المركبة والطاقم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قائمة الركاب</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جدولة رحلة أو إلغاؤها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test_use_case_gaps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المبيعات وكشف الحساب</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محاسب الشركة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test_payouts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جدول الدفعات والسحب</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محاسب الشركة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test_payouts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الاشتراك والمقاعد</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مخططات المقاعد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test_seat_layouts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إتمام الرحلة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FR-03.19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سعة العنبر وأسعار الشحن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test_parcels</w:t>
            </w:r>
          </w:p>
        </w:tc>
      </w:tr>
    </w:tbl>
    <w:p>
      <w:pPr>
        <w:pStyle w:val="Heading2"/>
        <w:keepNext/>
        <w:bidi/>
        <w:spacing w:after="100" w:before="240"/>
        <w:jc w:val="right"/>
      </w:pPr>
      <w:r>
        <w:rPr>
          <w:rFonts w:ascii="Arial" w:cs="Arial" w:eastAsia="Arial" w:hAnsi="Arial"/>
          <w:b/>
          <w:bCs/>
          <w:color w:val="0A5BD3"/>
          <w:sz w:val="24"/>
          <w:szCs w:val="24"/>
          <w:rtl/>
        </w:rPr>
        <w:t xml:space="preserve">3.4 تطبيق السائق (UC-4)</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الرحلة المسندة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إبقاء الموقع مفعّلاً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FR-04.01</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test_telemetry</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مشاركة الموقع المباشر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FR-04.01</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test_telemetry</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قائمة الركاب</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مسح رموز الصعود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الوصول والمغادرة في المحطات</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بيع تذكرة نقداً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إطلاق نداء استغاثة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 الجهات الأمنية والحكومية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test_use_case_gaps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استلام أمر من جهة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الإبلاغ عن حادث</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test_use_case_gaps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دفع الوقود ببطاقة الوقود الافتراضية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 موظف محطة الوقود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رؤية صورة المسافر عند الصعود</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test_boarding_photo</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FR-04.13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توثيق الجهاز</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المرافق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3.5 الشحن والخدمات اللوجستية (UC-5)</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إنشاء شحنة والحصول على تسعيرة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المرسل أو المتجر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test_parcels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أو اختيار الدفع عند التسليم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الإيداع في نقطة استلام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مشغل نقطة الاستلام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القبول والوزن في المحطة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الشحن أو مشغل المركز</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الفرز وتجميع وحدات المناولة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الشحن أو مشغل المركز</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التحميل على رحلة النقل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الشحن أو مشغل المركز</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test_cargo_capacity</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تتبع الشحنة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المستلم، المرسل أو المتجر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خيارات التسليم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المستلم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التسليم بإثبات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المندوب</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محاولة فاشلة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FR-05.09</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الاستلام من نقطة أو خزانة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مشغل نقطة الاستلام، المستلم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الإرجاع إلى المرسل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الشحن أو مشغل المركز</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FR-05.13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تسوية الأجور وتحويل مبالغ التحصيل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FR-05.14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تبادل الطلبات والتحديثات عبر الواجهة البرمجية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شحن عالمية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FR-05.15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تقديم مطالبة شحن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المرسل أو المتجر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FR-05.16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مساحة في عنبر رحلة مجدولة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المرسل أو المتجر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test_parcels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FR-05.17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الاتفاق على سعر مع الناقل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المرسل أو المتجر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test_parcels</w:t>
            </w:r>
          </w:p>
        </w:tc>
      </w:tr>
    </w:tbl>
    <w:p>
      <w:pPr>
        <w:pStyle w:val="Heading2"/>
        <w:keepNext/>
        <w:bidi/>
        <w:spacing w:after="100" w:before="240"/>
        <w:jc w:val="right"/>
      </w:pPr>
      <w:r>
        <w:rPr>
          <w:rFonts w:ascii="Arial" w:cs="Arial" w:eastAsia="Arial" w:hAnsi="Arial"/>
          <w:b/>
          <w:bCs/>
          <w:color w:val="0A5BD3"/>
          <w:sz w:val="24"/>
          <w:szCs w:val="24"/>
          <w:rtl/>
        </w:rPr>
        <w:t xml:space="preserve">3.6 شركاء الخدمات والولاء (UC-6)</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حدود الوقود لكل مركبة وسائق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تعبئة وقود</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محطة الوقود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بطاقة الوقود والموقع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FR-06.02</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الطلب المسبق من الاستراحة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في الاستراحة برمز QR</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 الاستراحة أو التاجر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استبدال النقاط</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FR-06.05</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test_use_case_gaps، test_loyalty_partners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كسب النقاط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test_use_case_gaps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تحويل النقاط إلى برنامج شريك</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شريك الولاء، 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مبيعات الشركاء وتسوياتهم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محطة الوقود، شريك الولاء، الاستراحة أو التاجر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test_loyalty_partners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FR-06.10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تقييم الاستراحة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3.7 الإدارة والمالية والدعم (UC-7)</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الناقلين والشركاء</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المحطات والبيانات المرجعية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السياسات والتعرفات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حالة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الدعم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تقرير التعويض</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FR-07.04</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دفع التعويض</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المطابقة اليومية للمصرف والمحافظ</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 بوابة الدفع أو المصرف</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 دفعات الناقلين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 بوابة الدفع أو المصرف</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test_payouts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الحملات التسويقية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التسويق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المعالجة والموافقات</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حماية البيانات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test_account</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الإشراف على المساعد الذكي</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مشرف المساعد الذكي</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مزامنة الحالات مع نظام خدمة العملاء</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خدمة العملاء (CRM)</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FR-07.13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الوحدات وإيقافها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test_modules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FR-07.14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متابعة نقد الكاونتر وتوريده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FR-07.15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عبر مصفوفة الموافقات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test_money_boundaries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FR-07.16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مزودي الدفع والرسوم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test_payments، test_money_boundaries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FR-07.17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الأسواق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test_markets</w:t>
            </w:r>
          </w:p>
        </w:tc>
      </w:tr>
    </w:tbl>
    <w:p>
      <w:pPr>
        <w:pStyle w:val="Heading2"/>
        <w:keepNext/>
        <w:bidi/>
        <w:spacing w:after="100" w:before="240"/>
        <w:jc w:val="right"/>
      </w:pPr>
      <w:r>
        <w:rPr>
          <w:rFonts w:ascii="Arial" w:cs="Arial" w:eastAsia="Arial" w:hAnsi="Arial"/>
          <w:b/>
          <w:bCs/>
          <w:color w:val="0A5BD3"/>
          <w:sz w:val="24"/>
          <w:szCs w:val="24"/>
          <w:rtl/>
        </w:rPr>
        <w:t xml:space="preserve">3.8 الأمن والامتثال والجهات (UC-8)</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سياسات الجهات ومحوّلاتها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التدقيق على المسافرين والطواقم والمركبات</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تقديم البيان والحصول على الموافقة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أمر (منع، إيقاف، تحويل)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الجهة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 بيانات رسمية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الجهة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وشاشات فقط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الجهة وتسليم البيانات مشفّرة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يحدده المالك</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لوحة الحوكمة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الجهة الرقابية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التذاكر والمركبات ميدانياً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المفتش</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صحة مستند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متحقق من مستند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مراقبة أحداث الأمن وسجلات التدقيق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test_audit_pipeline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قواعد عناوين IP</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تبادل رسائل البيان مع الحدود</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أنظمة الحدود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test_manifest_integrity</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FR-08.13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مخالفات المسار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FR-08.14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مدقق خارجي وصولاً محدد المدة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3.9 قنوات التوزيع والوكالات (UC-9)</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البحث والحجز ضمن الحصة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وكالة السفر أو الوكيل الفرعي</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test_agency</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عبر واجهة القنوات</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منصة وسيطة (OTA / GDS)</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test_integration</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الوكلاء الفرعيين والرصيد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وكالة السفر أو الوكيل الفرعي</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الكشف والعمولات</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وكالة السفر أو الوكيل الفرعي، منصة وسيطة (OTA / GDS)</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test_agency</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بأسعار الشركات التعاقدية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عميل الشركات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يحدده المالك</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إحالة العملاء برابط</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شريك الإحالة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يحدده المالك</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حصص القنوات ونماذج العمولة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تسوية عمولات القنوات</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عميل تكامل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test_integration</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FR-09.10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استلام إشعارات موقّعة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منصة وسيطة (OTA / GDS)</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test_integration</w:t>
            </w:r>
          </w:p>
        </w:tc>
      </w:tr>
    </w:tbl>
    <w:p>
      <w:pPr>
        <w:pStyle w:val="Heading2"/>
        <w:keepNext/>
        <w:bidi/>
        <w:spacing w:after="100" w:before="240"/>
        <w:jc w:val="right"/>
      </w:pPr>
      <w:r>
        <w:rPr>
          <w:rFonts w:ascii="Arial" w:cs="Arial" w:eastAsia="Arial" w:hAnsi="Arial"/>
          <w:b/>
          <w:bCs/>
          <w:color w:val="0A5BD3"/>
          <w:sz w:val="24"/>
          <w:szCs w:val="24"/>
          <w:rtl/>
        </w:rPr>
        <w:t xml:space="preserve">3.10 المحاسبة والفوترة الإلكترونية (UC-10)</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FR-10.01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فاتورة إلكترونية لكل عملية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test_use_case_gaps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FR-10.02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إقفال الفاتورة وتوقيعها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FR-10.01</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test_use_case_gaps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FR-10.03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الإرسال إلى الهيئة الضريبية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الهيئة الضريبية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يحدده المالك</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FR-10.04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إشعار دائن أو مدين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FR-10.05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ترحيل القيود من 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التكامل المحاسبي</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FR-10.06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الحسابات والمزامنة مع النظام المحاسبي</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التكامل المحاسبي، النظام المحاسبي (ERP)</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FR-10.07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مطابقة الدفتر الفرعي مع العام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 بوابة الدفع أو المصرف</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FR-10.08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الملفات الضريبية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التكامل المحاسبي</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جزئياً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test_tax_engine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FR-10.09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إعداد التقارير المالية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مالية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test_reports</w:t>
            </w:r>
          </w:p>
        </w:tc>
      </w:tr>
    </w:tbl>
    <w:p>
      <w:pPr>
        <w:pStyle w:val="Heading2"/>
        <w:keepNext/>
        <w:bidi/>
        <w:spacing w:after="100" w:before="240"/>
        <w:jc w:val="right"/>
      </w:pPr>
      <w:r>
        <w:rPr>
          <w:rFonts w:ascii="Arial" w:cs="Arial" w:eastAsia="Arial" w:hAnsi="Arial"/>
          <w:b/>
          <w:bCs/>
          <w:color w:val="0A5BD3"/>
          <w:sz w:val="24"/>
          <w:szCs w:val="24"/>
          <w:rtl/>
        </w:rPr>
        <w:t xml:space="preserve">3.11 محطات الصعود وشركات التشغيل (UC-11)</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إعدادات الصعود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محطة واختيار نظام كاونترها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نظام كاونتر المحطة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كاونترات وبوابات ترقّمها المنصة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شركة تشغيل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شركة مكلّفة من الدولة صلاحياتها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أرقام الاتفاقيات والتراخيص</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سحب رقم مرجعي</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شركة تشغيل صلاحية في محطة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إلغاء منح</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الدخول إلى بوابة المحطة بعامل ثانٍ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تشغيل المحطة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الصلاحيات والكاونترات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تشغيل المحطة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الوصول وإصدار بطاقة الصعود</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تشغيل المحطة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test_station_checkin</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FR-11.13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تقرير ما إذا كانت الشركة مخوّلة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FR-11.11</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test_boarding_stations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FR-11.14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الرحلات وبواباتها على شاشات المحطة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شاشات المحطة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test_station_screens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FR-11.15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البيع من كاونتر المحطة لحساب الناقل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تشغيل المحطة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test_station_sales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FR-11.16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إصعاد المسافرين عند البوابة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تشغيل المحطة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test_station_checkin</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FR-11.17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متابعة الناقل لعمل شركات التشغيل على رحلاته</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test_station_screens</w:t>
            </w:r>
          </w:p>
        </w:tc>
      </w:tr>
    </w:tbl>
    <w:p>
      <w:pPr>
        <w:pStyle w:val="Heading2"/>
        <w:keepNext/>
        <w:bidi/>
        <w:spacing w:after="100" w:before="240"/>
        <w:jc w:val="right"/>
      </w:pPr>
      <w:r>
        <w:rPr>
          <w:rFonts w:ascii="Arial" w:cs="Arial" w:eastAsia="Arial" w:hAnsi="Arial"/>
          <w:b/>
          <w:bCs/>
          <w:color w:val="0A5BD3"/>
          <w:sz w:val="24"/>
          <w:szCs w:val="24"/>
          <w:rtl/>
        </w:rPr>
        <w:t xml:space="preserve">3.12 صورة الصعود وسياستها (UC-12)</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التقاط صورة الشخص أو أحد أفراد عائلته</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test_boarding_photo</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صورته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test_photo_settings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 تغيير صورة بالأدلة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 test_a_photo_switch، test_photo_settings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تطبيق التغيير أو رفضه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 test_a_photo_switch، test_photo_settings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اقتراح قاعدة صورة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 test_a_photo_switch، test_photo_settings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قاعدة أو سحبها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 test_a_photo_switch، test_photo_settings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الميزة بأساسها القانوني</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 test_a_photo_switch، test_photo_settings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تغيير إعداد للصورة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 test_a_photo_switch، test_photo_settings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تغيير بمراحله</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 test_a_photo_switch، test_photo_settings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مراحل الموافقة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test_photo_policy، test_a_photo_switch، test_photo_settings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رؤية صورة المسافر عند الصعود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مكتب الناقل أو الوكيل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test_boarding_photo، test_photo_settings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إعداد العرض وحالة الصعود</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FR-12.11</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test_photo_settings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FR-12.13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الهوية عبر مزود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مزود التحقق من الهوية، 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يحدده المالك</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3.13 خيارات الدفع (UC-13)</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FR-13.01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خيار دفع أو إغلاقه بسبب</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مالية المنصة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FR-13.02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قنوات الخيار وحدوده وإعداداته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مالية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FR-13.03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فوراً من المحفظة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FR-13.04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الآن والدفع لاحقاً في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FR-13.05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قبض النقد في الكاونتر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كاونتر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FR-13.06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البيع من رصيد الوكالة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وكالة السفر أو الوكيل الفرعي</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FR-13.07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بالبطاقة أو بالتقسيط أو بالتمويل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الدفع أو المصرف، 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FR-13.08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أن الخيار مفتوح والمبلغ ضمن حدوده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FR-13.03</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test_payment_options</w:t>
            </w:r>
          </w:p>
        </w:tc>
      </w:tr>
    </w:tbl>
    <w:p>
      <w:pPr>
        <w:pStyle w:val="Heading2"/>
        <w:keepNext/>
        <w:bidi/>
        <w:spacing w:after="100" w:before="240"/>
        <w:jc w:val="right"/>
      </w:pPr>
      <w:r>
        <w:rPr>
          <w:rFonts w:ascii="Arial" w:cs="Arial" w:eastAsia="Arial" w:hAnsi="Arial"/>
          <w:b/>
          <w:bCs/>
          <w:color w:val="0A5BD3"/>
          <w:sz w:val="24"/>
          <w:szCs w:val="24"/>
          <w:rtl/>
        </w:rPr>
        <w:t xml:space="preserve">3.14 العائلات وفئات المسافرين (UC-14)</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فئات العمر وأسعار الفئات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معرفة من يُحسب طفلاً وكم يدفع كل مسافر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تسعير كل مسافر حسب فئته</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FR-14.04</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مع طفل ورضيع على الحضن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عائلة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الأفراد وإدارتهم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الانضمام إلى عائلة من جهاز آخر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فرد العائلة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قواعد رب العائلة وحدود الإنفاق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عرض العائلة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شراء بطاقات العائلة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 العائلة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مغادرة العائلة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فرد العائلة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FR-14.12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تشفير أرقام هواتف الأفراد</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FR-14.06</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test_families</w:t>
            </w:r>
          </w:p>
        </w:tc>
      </w:tr>
    </w:tbl>
    <w:p>
      <w:pPr>
        <w:pStyle w:val="Heading2"/>
        <w:keepNext/>
        <w:bidi/>
        <w:spacing w:after="100" w:before="240"/>
        <w:jc w:val="right"/>
      </w:pPr>
      <w:r>
        <w:rPr>
          <w:rFonts w:ascii="Arial" w:cs="Arial" w:eastAsia="Arial" w:hAnsi="Arial"/>
          <w:b/>
          <w:bCs/>
          <w:color w:val="0A5BD3"/>
          <w:sz w:val="24"/>
          <w:szCs w:val="24"/>
          <w:rtl/>
        </w:rPr>
        <w:t xml:space="preserve">3.15 بيانات الركاب ووثائق السفر (UC-15)</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تحديد وجهات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بيان رحلة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توجيه البيان وتسليمه</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FR-15.02</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تأكيد الاستلام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الجهات الأمنية والحكومية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البيان وتصديره</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إرسال بيان ما قبل الوصول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منظم الرحلات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test_manifest_integrity</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تبادل الرسائل مع الحدود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أنظمة الحدود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test_manifest_integrity</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الشحن إلى البيان الدولي</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FR-15.06</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test_manifest_integrity</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قواعد وثائق السفر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test_travel_documents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استثناء بموظفَين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الامتثال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test_travel_documents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FR-15.11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وثيقة المسافر للرحلة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FR-15.09</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test_travel_documents</w:t>
            </w:r>
          </w:p>
        </w:tc>
      </w:tr>
    </w:tbl>
    <w:p>
      <w:pPr>
        <w:pStyle w:val="Heading2"/>
        <w:keepNext/>
        <w:bidi/>
        <w:spacing w:after="100" w:before="240"/>
        <w:jc w:val="right"/>
      </w:pPr>
      <w:r>
        <w:rPr>
          <w:rFonts w:ascii="Arial" w:cs="Arial" w:eastAsia="Arial" w:hAnsi="Arial"/>
          <w:b/>
          <w:bCs/>
          <w:color w:val="0A5BD3"/>
          <w:sz w:val="24"/>
          <w:szCs w:val="24"/>
          <w:rtl/>
        </w:rPr>
        <w:t xml:space="preserve">3.16 الحساب والخصوصية وأمن الدخول (UC-16)</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الدخول بعامل تحقق ثانٍ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 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test_mfa، test_e2e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الجلسات والأجهزة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test_account</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تغيير كلمة المرور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test_account</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إعطاء الموافقة أو سحبها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test_account</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تصدير بياناتي</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test_account</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 المحو</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test_account</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تعطيل الحساب وإعادة تفعيله</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سياسة العامل الثاني لكل بوابة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أمن المنصة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FR-16.09</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قفل الحساب بعد محاولات فاشلة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FR-16.01</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test_shared_limits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FR-16.10</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إتمام طلب المحو</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مسؤول حماية البيانات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test_account</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FR-16.11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إرسال رموز الدخول برسالة أو واتساب</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مزودو الإشعارات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الإطلاق</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test_sign_in_and_operations</w:t>
            </w:r>
          </w:p>
        </w:tc>
      </w:tr>
    </w:tbl>
    <w:p>
      <w:pPr>
        <w:pStyle w:val="Heading2"/>
        <w:keepNext/>
        <w:bidi/>
        <w:spacing w:after="100" w:before="240"/>
        <w:jc w:val="right"/>
      </w:pPr>
      <w:r>
        <w:rPr>
          <w:rFonts w:ascii="Arial" w:cs="Arial" w:eastAsia="Arial" w:hAnsi="Arial"/>
          <w:b/>
          <w:bCs/>
          <w:color w:val="0A5BD3"/>
          <w:sz w:val="24"/>
          <w:szCs w:val="24"/>
          <w:rtl/>
        </w:rPr>
        <w:t xml:space="preserve">3.17 خدمات المراحل اللاحقة (UC-17)</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1735"/>
        <w:gridCol w:w="1060"/>
        <w:gridCol w:w="1253"/>
        <w:gridCol w:w="1735"/>
      </w:tblGrid>
      <w:tr>
        <w:trPr>
          <w:tblHeader/>
        </w:trPr>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الأولوية</w:t>
            </w:r>
          </w:p>
        </w:tc>
        <w:tc>
          <w:tcPr>
            <w:tcW w:type="dxa" w:w="125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الاختبار</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FR-17.01</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تقدير أجرة سيارة الأجرة وطلبها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test_workflows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FR-17.02</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البحث عن سيارة للإيجار وحجزها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مسافر</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test_workflows</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FR-17.03</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نشر طلب شحن بضائع وترسية عرض</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 المرسل أو المتجر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test_workflows</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FR-17.04</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النقل المدرسي</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FR-17.05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النقل التعاقدي</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FR-17.06</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بيع رحلات القطارات</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FR-17.07</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تخطيط ممرات العبور ونقاط العبور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FR-17.08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الخطوط وتصاريحها</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مالك حساب الناقل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مرحلة لاحقة</w:t>
            </w:r>
          </w:p>
        </w:tc>
        <w:tc>
          <w:tcPr>
            <w:tcW w:type="dxa" w:w="125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بيانات فقط، مغلقة عند الإطلاق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متطلبات الواجهات الخارجية</w:t>
      </w:r>
    </w:p>
    <w:p>
      <w:pPr>
        <w:pStyle w:val="Heading2"/>
        <w:keepNext/>
        <w:bidi/>
        <w:spacing w:after="100" w:before="240"/>
        <w:jc w:val="right"/>
      </w:pPr>
      <w:r>
        <w:rPr>
          <w:rFonts w:ascii="Arial" w:cs="Arial" w:eastAsia="Arial" w:hAnsi="Arial"/>
          <w:b/>
          <w:bCs/>
          <w:color w:val="0A5BD3"/>
          <w:sz w:val="24"/>
          <w:szCs w:val="24"/>
          <w:rtl/>
        </w:rPr>
        <w:t xml:space="preserve">4.1 واجهات المستخدم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rPr>
          <w:tblHeader/>
        </w:trPr>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الواجهة</w:t>
            </w:r>
          </w:p>
        </w:tc>
        <w:tc>
          <w:tcPr>
            <w:tcW w:type="dxa" w:w="722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r>
      <w:tr>
        <w:trPr>
          <w:cantSplit/>
        </w:trPr>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بوابات الويب</w:t>
            </w:r>
          </w:p>
        </w:tc>
        <w:tc>
          <w:tcPr>
            <w:tcW w:type="dxa" w:w="722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سبع بوابات بحسب نوع الحساب، عربية وإنجليزية، من اليمين إلى اليسار في العربية، دون نصوص مضمّنة (CSP)</w:t>
            </w:r>
          </w:p>
        </w:tc>
      </w:tr>
      <w:tr>
        <w:trPr>
          <w:cantSplit/>
        </w:trPr>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تطبيق المسافر</w:t>
            </w:r>
          </w:p>
        </w:tc>
        <w:tc>
          <w:tcPr>
            <w:tcW w:type="dxa" w:w="722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البحث والحجز والدفع والتذكرة دون اتصال والعائلة والطرود والدعم</w:t>
            </w:r>
          </w:p>
        </w:tc>
      </w:tr>
      <w:tr>
        <w:trPr>
          <w:cantSplit/>
        </w:trPr>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تطبيق السائق</w:t>
            </w:r>
          </w:p>
        </w:tc>
        <w:tc>
          <w:tcPr>
            <w:tcW w:type="dxa" w:w="722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الرحلات المسندة والتتبع والمسح دون اتصال وأحداث المحطات وتوثيق الجهاز</w:t>
            </w:r>
          </w:p>
        </w:tc>
      </w:tr>
      <w:tr>
        <w:trPr>
          <w:cantSplit/>
        </w:trPr>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صفحة التحقق العامة</w:t>
            </w:r>
          </w:p>
        </w:tc>
        <w:tc>
          <w:tcPr>
            <w:tcW w:type="dxa" w:w="722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التذكرة المطبوعة والفاتورة الإلكترونية دون حساب</w:t>
            </w:r>
          </w:p>
        </w:tc>
      </w:tr>
      <w:tr>
        <w:trPr>
          <w:cantSplit/>
        </w:trPr>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شاشة رحلات المحطة</w:t>
            </w:r>
          </w:p>
        </w:tc>
        <w:tc>
          <w:tcPr>
            <w:tcW w:type="dxa" w:w="722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صفحة عامة على شاشة الصالة: الرحلات المغادرة والقادمة وبواباتها وحالاتها، بتوقيت المحطة، دون بيانات المسافرين</w:t>
            </w:r>
          </w:p>
        </w:tc>
      </w:tr>
    </w:tbl>
    <w:p>
      <w:pPr>
        <w:pStyle w:val="Heading2"/>
        <w:keepNext/>
        <w:bidi/>
        <w:spacing w:after="100" w:before="240"/>
        <w:jc w:val="right"/>
      </w:pPr>
      <w:r>
        <w:rPr>
          <w:rFonts w:ascii="Arial" w:cs="Arial" w:eastAsia="Arial" w:hAnsi="Arial"/>
          <w:b/>
          <w:bCs/>
          <w:color w:val="0A5BD3"/>
          <w:sz w:val="24"/>
          <w:szCs w:val="24"/>
          <w:rtl/>
        </w:rPr>
        <w:t xml:space="preserve">4.2 واجهات البرمجيات والأنظمة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157"/>
        <w:gridCol w:w="4241"/>
        <w:gridCol w:w="2120"/>
      </w:tblGrid>
      <w:tr>
        <w:trPr>
          <w:tblHeader/>
        </w:trPr>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النظام</w:t>
            </w:r>
          </w:p>
        </w:tc>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الاتجاه</w:t>
            </w:r>
          </w:p>
        </w:tc>
        <w:tc>
          <w:tcPr>
            <w:tcW w:type="dxa" w:w="424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بوابات الدفع والمصرف</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صادر ووارد</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طلبات الدفع والاسترداد؛ إشعارات موقّعة تُقبل مرة واحدة؛ كشوف مصرفية تُطابق</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مزودو البطاقة والتقسيط والتمويل ينتظرون التعاقد</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مزودو الرسائل والواتساب</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صادر</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رموز الدخول والإشعارات عبر صندوق الصادر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المزود الفعلي بالتعاقد</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مزود التحقق من الهوية</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صادر</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 تحقق يُرفض حتى يُربط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غير مربوط</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أنظمة الحدود والجهات</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صادر ووارد</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البيانات وما قبل الوصول والأجوبة عبر عقد الحدود /api/v1/border</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مع الوحدة الدولية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الشركاء وعملاء التكامل</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وارد وصادر</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الواجهة العامة v1 بمفاتيح مجزّأة وحدود، وإشعارات موقّعة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الهيئة الضريبية والأنظمة المحاسبية</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صادر</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الفواتير الإلكترونية والقيود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الفواتير تصدر وتُوقَّع بضرائبها (1104، 1108)؛ الإرسال إلى الهيئة والقيود إلى الأنظمة المحاسبية غير مبنيين</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تخزين الكائنات</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داخلي</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S3 متوافق بتشفير من جهة الخادم وإصدارات وقفل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خدمة المفاتيح</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داخلي</w:t>
            </w:r>
          </w:p>
        </w:tc>
        <w:tc>
          <w:tcPr>
            <w:tcW w:type="dxa" w:w="424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مفاتيح التشفير في KMS أو Vault في الإنتاج</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نظام كاونتر المحطة</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وارد وصادر</w:t>
            </w:r>
          </w:p>
        </w:tc>
        <w:tc>
          <w:tcPr>
            <w:tcW w:type="dxa" w:w="424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نظام المحطة الخاص بدل كاونتر المنصة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w:t>
            </w:r>
          </w:p>
        </w:tc>
      </w:tr>
    </w:tbl>
    <w:p>
      <w:pPr>
        <w:pStyle w:val="Heading2"/>
        <w:keepNext/>
        <w:bidi/>
        <w:spacing w:after="100" w:before="240"/>
        <w:jc w:val="right"/>
      </w:pPr>
      <w:r>
        <w:rPr>
          <w:rFonts w:ascii="Arial" w:cs="Arial" w:eastAsia="Arial" w:hAnsi="Arial"/>
          <w:b/>
          <w:bCs/>
          <w:color w:val="0A5BD3"/>
          <w:sz w:val="24"/>
          <w:szCs w:val="24"/>
          <w:rtl/>
        </w:rPr>
        <w:t xml:space="preserve">4.3 واجهات الاتصال</w:t>
      </w:r>
    </w:p>
    <w:p>
      <w:pPr>
        <w:pStyle w:val="ListParagraph"/>
        <w:numPr>
          <w:ilvl w:val="0"/>
          <w:numId w:val="2"/>
        </w:numPr>
        <w:bidi/>
        <w:spacing w:after="80" w:line="290"/>
        <w:jc w:val="right"/>
      </w:pPr>
      <w:r>
        <w:rPr>
          <w:rFonts w:ascii="Arial" w:cs="Arial" w:eastAsia="Arial" w:hAnsi="Arial"/>
          <w:color w:val="0F1B2D"/>
          <w:sz w:val="21"/>
          <w:szCs w:val="21"/>
          <w:rtl/>
        </w:rPr>
        <w:t xml:space="preserve">HTTPS لكل الاتصالات الخارجية، وTLS إلى قاعدة البيانات بشهادات داخلية.</w:t>
      </w:r>
    </w:p>
    <w:p>
      <w:pPr>
        <w:pStyle w:val="ListParagraph"/>
        <w:numPr>
          <w:ilvl w:val="0"/>
          <w:numId w:val="2"/>
        </w:numPr>
        <w:bidi/>
        <w:spacing w:after="80" w:line="290"/>
        <w:jc w:val="right"/>
      </w:pPr>
      <w:r>
        <w:rPr>
          <w:rFonts w:ascii="Arial" w:cs="Arial" w:eastAsia="Arial" w:hAnsi="Arial"/>
          <w:color w:val="0F1B2D"/>
          <w:sz w:val="21"/>
          <w:szCs w:val="21"/>
          <w:rtl/>
        </w:rPr>
        <w:t xml:space="preserve">الإشعارات الصادرة موقّعة، والواردة يُتحقق من توقيعها قبل أي أثر.</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المتطلبات غير الوظيفية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157"/>
        <w:gridCol w:w="1735"/>
        <w:gridCol w:w="3277"/>
        <w:gridCol w:w="2699"/>
      </w:tblGrid>
      <w:tr>
        <w:trPr>
          <w:tblHeader/>
        </w:trPr>
        <w:tc>
          <w:tcPr>
            <w:tcW w:type="dxa" w:w="77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الفئة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المتطلب</w:t>
            </w:r>
          </w:p>
        </w:tc>
        <w:tc>
          <w:tcPr>
            <w:tcW w:type="dxa" w:w="327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المقياس</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طريقة التحقق</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NFR-01</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زمن الحجز</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p95 ≤ 0.8 ث وp99 ≤ 1.5 ث على 30 يوماً</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loadtest.burst عند 1x و2x؛ مقاييس الخادم (SLO.md)</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NFR-02</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زمن البحث</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p95 ≤ 0.3 ث</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loadtest؛ مقاييس الخادم</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NFR-03</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الذروة التصميمية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1,500 عملية في الثانية في المرحلة الأولى، و3,000 في الثانية (CAPACITY_MODEL.md)</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loadtest.burst عند 240 و480 و1200 حجز في الثانية؛ قياس الحد عند 5x</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NFR-04</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التوفر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والدفع</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99.9% من الطلبات دون خطأ 5xx على 30 يوماً</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مراقبة SLO وتنبيه استهلاك الميزانية</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NFR-05</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التوفر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تتبع المواقع</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99.5% دون 5xx، وp95 ≤ 0.5 ث</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مراقبة SLO</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NFR-06</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فقد البيانات المسموح (RPO)</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60 ثانية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restore_drill.py؛ بوابة الإطلاق 1</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NFR-07</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زمن الاستعادة (RTO)</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30 دقيقة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restore_drill.py وfailover_drill.py</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NFR-08</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التحويل إلى الخادم الثاني</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قائد واحد بعد إيقاف الأساسي تحت الحمل، ضمن RPO وRTO</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failover_drill.py؛ CI (production-ha)</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NFR-09</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سلامة المال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مطابقة المحافظ</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صفر فرق بين المحافظ والدفتر دائماً</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المطابقة اليومية وتنبيه فوري؛ test_money_boundaries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NFR-10</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سلامة المال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منع التكرار</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 الدفع أو الحجز المكرر بالمفتاح نفسه ينتج أثراً واحداً</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test_sign_in_and_operations</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NFR-11</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العامل الثاني</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إلزامي لبوابات الموظفين (الناقل، الوكالة، المنصة، المحطة)، وسياسة قابلة للضبط لكل بوابة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test_mfa؛ test_boarding_stations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NFR-12</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العزل بين الشركات</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ترى شركة صفوف أخرى ولا تعدّلها، على مستوى القاعدة (RLS)</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test_isolation؛ فحوص القاعدة</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NFR-13</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تشفير البيانات الحساسة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أرقام الوثائق والهواتف والصور مشفّرة في الحقول؛ القرص والنسخ الاحتياطية مشفّرة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test_e2e؛ test_crypto؛ PRODUCTION_PROFILE.md</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NFR-14</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المفاتيح والأسرار</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خدمة مفاتيح إلزامية في الإنتاج، ولا مفاتيح افتراضية أو ضعيفة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test_kms؛ فحص الإقلاع في CI (production)</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NFR-15</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الاتصال الخارجي</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اتصال مباشر من الحاويات؛ كل اتصال خارجي عبر وكيل بقائمة مسموح بها</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deploy/egress/selftest.sh؛ test_egress؛ test_ssrf</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NFR-16</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الملفات المرفوعة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تُفحص قبل تقديمها؛ وعند توقف الفاحص يُرفض الملف</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test_scanner_outage؛ بوابة الإطلاق 7</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NFR-17</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حدود الطلبات وقفل الحسابات</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حدود مشتركة في القاعدة لكل عنوان وحساب، وقفل بعد محاولات فاشلة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test_ratelimit؛ test_shared_limits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NFR-18</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المحتوى في الواجهة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نصوص أو أنماط مضمّنة؛ سياسة CSP صارمة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csp-check في CI</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NFR-19</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الأمن</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ثغرة حرجة أو عالية مفتوحة قبل الإطلاق</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جهة خارجية؛ بوابة الإطلاق 8</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NFR-20</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التدقيق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سجل النشاط</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سجل إضافة فقط مختوم، يُصدَّر موقّعاً إلى أرشيف مقفل</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test_audit_pipeline؛ test_audit_export؛ بوابة الإطلاق 6</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NFR-21</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الخصوصية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حقوق صاحب البيانات</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الموافقات والتصدير والمحو من الحساب؛ المحو يجعل الحساب مجهول الهوية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test_account</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NFR-22</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الخصوصية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الاحتفاظ</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مدد احتفاظ لكل مجموعة بيانات بأساسها القانوني: مواقع الرحلات 90 يوماً، سجلات المسافرين والوثائق 5 سنوات ثم إخفاء الهوية، سجل التدقيق 7 سنوات ثم الأرشفة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gov.retention_policy؛ مهمة الحذف الدورية</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NFR-23</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الخصوصية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الميزات الحساسة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صورة الصعود والمساعد الذكي لا تُفتح دون أساس قانوني أو تقييم أثر معتمد</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test_a_photo_switch؛ قاعدة DPIA_REQUIRED</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NFR-24</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قابلية الاستخدام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اللغة والاتجاه</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واجهة عربية من اليمين إلى اليسار وإنجليزية، في الويب والجوال</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ui-checks في CI؛ مراجعة يدوية</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NFR-25</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قابلية الاستخدام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إمكانية الوصول</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مخالفة جدية أو حرجة وفق axe</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ui-checks في CI</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NFR-26</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التشغيل دون اتصال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الصعود والتذكرة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يعمل مسح الصعود وعرض التذكرة دون اتصال، ثم المزامنة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test_sign_in_and_operations؛ مصفوفة الأجهزة</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NFR-27</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الأسواق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العملة والمنطقة الزمنية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لكل سوق عملته ومنطقته الزمنية؛ السوق المفتوح يحتفظ بعملته</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test_markets</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NFR-28</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قابلية الصيانة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ترحيل القاعدة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ترحيل يُجرّب على نسخة بحجم الإنتاج ضمن حدود الأقفال والوقت، وله خطة إصلاح</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migration_rehearsal.py؛ بوابة الإطلاق 4</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NFR-29</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قابلية الصيانة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الإصدار الموقّع</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صورة واحدة موقّعة لكل إصدار مع قائمة مكوناتها؛ يرفض المثبّت صورة غير موقّعة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CI (image)؛ deploy/verify-release.sh</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NFR-30</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التنبيه</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يصل التنبيه إلى المناوب ويُستلم خلال 15 دقيقة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التنبيه؛ بوابة الإطلاق 5</w:t>
            </w:r>
          </w:p>
        </w:tc>
      </w:tr>
      <w:tr>
        <w:trPr>
          <w:cantSplit/>
        </w:trPr>
        <w:tc>
          <w:tcPr>
            <w:tcW w:type="dxa" w:w="77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NFR-31</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الخصوصية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الشاشات العامة</w:t>
            </w:r>
          </w:p>
        </w:tc>
        <w:tc>
          <w:tcPr>
            <w:tcW w:type="dxa" w:w="327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شاشة رحلات المحطة لا تحمل أي بيانات للمسافرين، ولا تظهر إلا لمحطة فعّلت المنصة شاشاتها</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test_station_screens؛ فحوص القاعدة (1112)</w:t>
            </w:r>
          </w:p>
        </w:tc>
      </w:tr>
      <w:tr>
        <w:trPr>
          <w:cantSplit/>
        </w:trPr>
        <w:tc>
          <w:tcPr>
            <w:tcW w:type="dxa" w:w="77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NFR-32</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سلامة المال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الفواتير الإلكترونية</w:t>
            </w:r>
          </w:p>
        </w:tc>
        <w:tc>
          <w:tcPr>
            <w:tcW w:type="dxa" w:w="327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رقم متسلسل بلا فجوات لكل وحدة إصدار، وبصمة متسلسلة، وتوقيع يُتحقق منه بمعرّف المفتاح المنشور</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test_use_case_gaps؛ test_tax_engine؛ /api/public/keys/einvoice</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متطلبات البيانات</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القاموس: </w:t>
      </w:r>
      <w:r>
        <w:rPr>
          <w:rFonts w:ascii="Arial" w:cs="Arial" w:eastAsia="Arial" w:hAnsi="Arial"/>
          <w:color w:val="0F1B2D"/>
          <w:sz w:val="21"/>
          <w:szCs w:val="21"/>
          <w:rtl/>
        </w:rPr>
        <w:t xml:space="preserve">522 جدولاً و5392 عموداً و1514 مفتاحاً أجنبياً، في db/DATA_DICTIONARY.md، يولَّد من القاعدة.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وثيقة تصميم قاعدة البيانات ومخططات ERD 3.14، ومخازن البيانات D1 إلى D23 في وثيقة حالات الاستخدام 2.1.</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السلامة: </w:t>
      </w:r>
      <w:r>
        <w:rPr>
          <w:rFonts w:ascii="Arial" w:cs="Arial" w:eastAsia="Arial" w:hAnsi="Arial"/>
          <w:color w:val="0F1B2D"/>
          <w:sz w:val="21"/>
          <w:szCs w:val="21"/>
          <w:rtl/>
        </w:rPr>
        <w:t xml:space="preserve">قيود CHECK والمفاتيح الأجنبية ودوال القاعدة (كتالوج قواعد الأعمال)، وجداول الحجوزات والقيود مقسّمة زمنياً.</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الاحتفاظ: </w:t>
      </w:r>
      <w:r>
        <w:rPr>
          <w:rFonts w:ascii="Arial" w:cs="Arial" w:eastAsia="Arial" w:hAnsi="Arial"/>
          <w:color w:val="0F1B2D"/>
          <w:sz w:val="21"/>
          <w:szCs w:val="21"/>
          <w:rtl/>
        </w:rPr>
        <w:t xml:space="preserve">مدد الاحتفاظ وإجراءاتها في gov.retention_policy (NFR-22)، والحجز القانوني يمنع المحو.</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7. التتبع</w:t>
      </w:r>
    </w:p>
    <w:p>
      <w:pPr>
        <w:bidi/>
        <w:spacing w:after="120" w:line="300"/>
        <w:jc w:val="right"/>
      </w:pPr>
      <w:r>
        <w:rPr>
          <w:rFonts w:ascii="Arial" w:cs="Arial" w:eastAsia="Arial" w:hAnsi="Arial"/>
          <w:color w:val="0F1B2D"/>
          <w:sz w:val="21"/>
          <w:szCs w:val="21"/>
          <w:rtl/>
        </w:rPr>
        <w:t xml:space="preserve">مصفوفة تتبع المتطلبات في الملف المرافق Masslak_Requirements_Traceability_Matrix_AR_v1.1.xlsx: لكل متطلب حالة الاستخدام، والفاعلون، والعمليات ومخططات تدفق البيانات، والحالة والأولوية، والدليل في النظام، والاختبارات، وسيناريو القبول. وللمتطلبات غير الوظيفية ورقة خاصة بمقاييسها وطرق التحقق منها.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8. ما يلزم لإكمال المواصفات</w:t>
      </w:r>
    </w:p>
    <w:p>
      <w:pPr>
        <w:pStyle w:val="ListParagraph"/>
        <w:numPr>
          <w:ilvl w:val="0"/>
          <w:numId w:val="2"/>
        </w:numPr>
        <w:bidi/>
        <w:spacing w:after="80" w:line="290"/>
        <w:jc w:val="right"/>
      </w:pPr>
      <w:r>
        <w:rPr>
          <w:rFonts w:ascii="Arial" w:cs="Arial" w:eastAsia="Arial" w:hAnsi="Arial"/>
          <w:color w:val="0F1B2D"/>
          <w:sz w:val="21"/>
          <w:szCs w:val="21"/>
          <w:rtl/>
        </w:rPr>
        <w:t xml:space="preserve">صياغة كل متطلب بصيغة «يجب أن» مع شروطه، للمتطلبات ذات الأولوية «الإطلاق»، اعتماداً على المواصفات التفصيلية وقواعد الأعمال.</w:t>
      </w:r>
    </w:p>
    <w:p>
      <w:pPr>
        <w:pStyle w:val="ListParagraph"/>
        <w:numPr>
          <w:ilvl w:val="0"/>
          <w:numId w:val="2"/>
        </w:numPr>
        <w:bidi/>
        <w:spacing w:after="80" w:line="290"/>
        <w:jc w:val="right"/>
      </w:pPr>
      <w:r>
        <w:rPr>
          <w:rFonts w:ascii="Arial" w:cs="Arial" w:eastAsia="Arial" w:hAnsi="Arial"/>
          <w:color w:val="0F1B2D"/>
          <w:sz w:val="21"/>
          <w:szCs w:val="21"/>
          <w:rtl/>
        </w:rPr>
        <w:t xml:space="preserve">قرار المالك في أولوية المتطلبات «يحدده المالك» وفي المراحل اللاحقة.</w:t>
      </w:r>
    </w:p>
    <w:p>
      <w:pPr>
        <w:pStyle w:val="ListParagraph"/>
        <w:numPr>
          <w:ilvl w:val="0"/>
          <w:numId w:val="2"/>
        </w:numPr>
        <w:bidi/>
        <w:spacing w:after="80" w:line="290"/>
        <w:jc w:val="right"/>
      </w:pPr>
      <w:r>
        <w:rPr>
          <w:rFonts w:ascii="Arial" w:cs="Arial" w:eastAsia="Arial" w:hAnsi="Arial"/>
          <w:color w:val="0F1B2D"/>
          <w:sz w:val="21"/>
          <w:szCs w:val="21"/>
          <w:rtl/>
        </w:rPr>
        <w:t xml:space="preserve">مراجعة المتطلبات غير الوظيفية مع الجهة المختصة، واعتمادها مع بوابات الإطلاق.</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مواصفات متطلبات البرمجيات ·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مواصفات متطلبات البرمجيات · 1.1</dc:title>
  <dc:creator>Masslak</dc:creator>
  <cp:lastModifiedBy>Un-named</cp:lastModifiedBy>
  <cp:revision>1</cp:revision>
  <dcterms:created xsi:type="dcterms:W3CDTF">2026-10-13T11:15:50.194Z</dcterms:created>
  <dcterms:modified xsi:type="dcterms:W3CDTF">2026-10-13T11:15:50.194Z</dcterms:modified>
</cp:coreProperties>
</file>

<file path=docProps/custom.xml><?xml version="1.0" encoding="utf-8"?>
<Properties xmlns="http://schemas.openxmlformats.org/officeDocument/2006/custom-properties" xmlns:vt="http://schemas.openxmlformats.org/officeDocument/2006/docPropsVTypes"/>
</file>