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249 tables · 20 schemas · 922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249 tables in 20 schemas; 922 foreign keys; 655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54</w:t>
            </w:r>
          </w:p>
        </w:tc>
        <w:tc>
          <w:tcPr>
            <w:tcW w:type="dxa" w:w="1701"/>
          </w:tcPr>
          <w:p>
            <w:pPr>
              <w:spacing w:after="0" w:before="0"/>
            </w:pPr>
            <w:r/>
            <w:r>
              <w:rPr>
                <w:rFonts w:ascii="Arial" w:hAnsi="Arial"/>
                <w:b w:val="0"/>
                <w:sz w:val="17"/>
              </w:rPr>
              <w:t>28</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90 diagrams cover 249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34</w:t>
            </w:r>
          </w:p>
        </w:tc>
        <w:tc>
          <w:tcPr>
            <w:tcW w:type="dxa" w:w="2268"/>
          </w:tcPr>
          <w:p>
            <w:pPr>
              <w:spacing w:after="0" w:before="0"/>
            </w:pPr>
            <w:r/>
            <w:r>
              <w:rPr>
                <w:rFonts w:ascii="Arial" w:hAnsi="Arial"/>
                <w:b w:val="0"/>
                <w:sz w:val="17"/>
              </w:rPr>
              <w:t>91</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18)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18)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18)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18)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18)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18)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681536"/>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99810" cy="6681536"/>
                    </a:xfrm>
                    <a:prstGeom prst="rect"/>
                  </pic:spPr>
                </pic:pic>
              </a:graphicData>
            </a:graphic>
          </wp:inline>
        </w:drawing>
      </w:r>
    </w:p>
    <w:p>
      <w:pPr>
        <w:spacing w:after="120"/>
        <w:jc w:val="center"/>
      </w:pPr>
      <w:r>
        <w:rPr>
          <w:rFonts w:ascii="Arial" w:hAnsi="Arial"/>
          <w:b w:val="0"/>
          <w:i/>
          <w:color w:val="6B7280"/>
          <w:sz w:val="16"/>
        </w:rPr>
        <w:t>Figure 59  Financial statements and balances (part 12 of 18)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fin.EarlyWarningAlert</w:t>
            </w:r>
          </w:p>
        </w:tc>
        <w:tc>
          <w:tcPr>
            <w:tcW w:type="dxa" w:w="6690"/>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948"/>
          </w:tcPr>
          <w:p>
            <w:pPr>
              <w:spacing w:after="0" w:before="0"/>
            </w:pPr>
            <w:r/>
            <w:r>
              <w:rPr>
                <w:rFonts w:ascii="Arial" w:hAnsi="Arial"/>
                <w:b w:val="0"/>
                <w:sz w:val="15"/>
              </w:rPr>
              <w:t>EarlyWarningAlertId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fin.FinancialStatement</w:t>
            </w:r>
          </w:p>
        </w:tc>
        <w:tc>
          <w:tcPr>
            <w:tcW w:type="dxa" w:w="6690"/>
            <w:shd w:val="clear" w:color="auto" w:fill="E8EEF6"/>
          </w:tcPr>
          <w:p>
            <w:pPr>
              <w:spacing w:after="0" w:before="0"/>
            </w:pPr>
            <w:r/>
            <w:r>
              <w:rPr>
                <w:rFonts w:ascii="Arial" w:hAnsi="Arial"/>
                <w:b w:val="0"/>
                <w:sz w:val="15"/>
              </w:rPr>
              <w:t>Financial statement header; highly confidential (FR-FIN-002/005/006, BR-FIN-001..004, section 8)</w:t>
            </w:r>
          </w:p>
        </w:tc>
        <w:tc>
          <w:tcPr>
            <w:tcW w:type="dxa" w:w="2948"/>
            <w:shd w:val="clear" w:color="auto" w:fill="E8EEF6"/>
          </w:tcPr>
          <w:p>
            <w:pPr>
              <w:spacing w:after="0" w:before="0"/>
            </w:pPr>
            <w:r/>
            <w:r>
              <w:rPr>
                <w:rFonts w:ascii="Arial" w:hAnsi="Arial"/>
                <w:b w:val="0"/>
                <w:sz w:val="15"/>
              </w:rPr>
              <w:t>FinancialStatementId</w:t>
            </w:r>
          </w:p>
        </w:tc>
        <w:tc>
          <w:tcPr>
            <w:tcW w:type="dxa" w:w="794"/>
            <w:shd w:val="clear" w:color="auto" w:fill="E8EEF6"/>
          </w:tcPr>
          <w:p>
            <w:pPr>
              <w:spacing w:after="0" w:before="0"/>
            </w:pPr>
            <w:r/>
            <w:r>
              <w:rPr>
                <w:rFonts w:ascii="Arial" w:hAnsi="Arial"/>
                <w:b w:val="0"/>
                <w:sz w:val="15"/>
              </w:rPr>
              <w:t>8</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fin.IndustryProfile</w:t>
            </w:r>
          </w:p>
        </w:tc>
        <w:tc>
          <w:tcPr>
            <w:tcW w:type="dxa" w:w="6690"/>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tcPr>
          <w:p>
            <w:pPr>
              <w:spacing w:after="0" w:before="0"/>
            </w:pPr>
            <w:r/>
            <w:r>
              <w:rPr>
                <w:rFonts w:ascii="Arial" w:hAnsi="Arial"/>
                <w:b w:val="0"/>
                <w:sz w:val="15"/>
              </w:rPr>
              <w:t>IndustryProfileId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fin.IndustrySensitivity</w:t>
            </w:r>
          </w:p>
        </w:tc>
        <w:tc>
          <w:tcPr>
            <w:tcW w:type="dxa" w:w="6690"/>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2948"/>
            <w:shd w:val="clear" w:color="auto" w:fill="E8EEF6"/>
          </w:tcPr>
          <w:p>
            <w:pPr>
              <w:spacing w:after="0" w:before="0"/>
            </w:pPr>
            <w:r/>
            <w:r>
              <w:rPr>
                <w:rFonts w:ascii="Arial" w:hAnsi="Arial"/>
                <w:b w:val="0"/>
                <w:sz w:val="15"/>
              </w:rPr>
              <w:t>IndustrySensitivityId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5029581"/>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106160" cy="5029581"/>
                    </a:xfrm>
                    <a:prstGeom prst="rect"/>
                  </pic:spPr>
                </pic:pic>
              </a:graphicData>
            </a:graphic>
          </wp:inline>
        </w:drawing>
      </w:r>
    </w:p>
    <w:p>
      <w:pPr>
        <w:spacing w:after="120"/>
        <w:jc w:val="center"/>
      </w:pPr>
      <w:r>
        <w:rPr>
          <w:rFonts w:ascii="Arial" w:hAnsi="Arial"/>
          <w:b w:val="0"/>
          <w:i/>
          <w:color w:val="6B7280"/>
          <w:sz w:val="16"/>
        </w:rPr>
        <w:t>Figure 60  Financial statements and balances (part 13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fin.LenderRating</w:t>
            </w:r>
          </w:p>
        </w:tc>
        <w:tc>
          <w:tcPr>
            <w:tcW w:type="dxa" w:w="6690"/>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tcPr>
          <w:p>
            <w:pPr>
              <w:spacing w:after="0" w:before="0"/>
            </w:pPr>
            <w:r/>
            <w:r>
              <w:rPr>
                <w:rFonts w:ascii="Arial" w:hAnsi="Arial"/>
                <w:b w:val="0"/>
                <w:sz w:val="15"/>
              </w:rPr>
              <w:t>LenderRatingId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7841326"/>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348730" cy="7841326"/>
                    </a:xfrm>
                    <a:prstGeom prst="rect"/>
                  </pic:spPr>
                </pic:pic>
              </a:graphicData>
            </a:graphic>
          </wp:inline>
        </w:drawing>
      </w:r>
    </w:p>
    <w:p>
      <w:pPr>
        <w:spacing w:after="120"/>
        <w:jc w:val="center"/>
      </w:pPr>
      <w:r>
        <w:rPr>
          <w:rFonts w:ascii="Arial" w:hAnsi="Arial"/>
          <w:b w:val="0"/>
          <w:i/>
          <w:color w:val="6B7280"/>
          <w:sz w:val="16"/>
        </w:rPr>
        <w:t>Figure 61  Financial statements and balances (part 14 of 18)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w:t>
            </w:r>
          </w:p>
        </w:tc>
        <w:tc>
          <w:tcPr>
            <w:tcW w:type="dxa" w:w="6690"/>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shd w:val="clear" w:color="auto" w:fill="E8EEF6"/>
          </w:tcPr>
          <w:p>
            <w:pPr>
              <w:spacing w:after="0" w:before="0"/>
            </w:pPr>
            <w:r/>
            <w:r>
              <w:rPr>
                <w:rFonts w:ascii="Arial" w:hAnsi="Arial"/>
                <w:b w:val="0"/>
                <w:sz w:val="15"/>
              </w:rPr>
              <w:t>PresentationVersionId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33820" cy="7672373"/>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6433820" cy="7672373"/>
                    </a:xfrm>
                    <a:prstGeom prst="rect"/>
                  </pic:spPr>
                </pic:pic>
              </a:graphicData>
            </a:graphic>
          </wp:inline>
        </w:drawing>
      </w:r>
    </w:p>
    <w:p>
      <w:pPr>
        <w:spacing w:after="120"/>
        <w:jc w:val="center"/>
      </w:pPr>
      <w:r>
        <w:rPr>
          <w:rFonts w:ascii="Arial" w:hAnsi="Arial"/>
          <w:b w:val="0"/>
          <w:i/>
          <w:color w:val="6B7280"/>
          <w:sz w:val="16"/>
        </w:rPr>
        <w:t>Figure 62  Financial statements and balances (part 15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fin.PresentationVersionStep</w:t>
            </w:r>
          </w:p>
        </w:tc>
        <w:tc>
          <w:tcPr>
            <w:tcW w:type="dxa" w:w="6690"/>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tcPr>
          <w:p>
            <w:pPr>
              <w:spacing w:after="0" w:before="0"/>
            </w:pPr>
            <w:r/>
            <w:r>
              <w:rPr>
                <w:rFonts w:ascii="Arial" w:hAnsi="Arial"/>
                <w:b w:val="0"/>
                <w:sz w:val="15"/>
              </w:rPr>
              <w:t>PresentationVersionStepId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305609"/>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9076690" cy="4305609"/>
                    </a:xfrm>
                    <a:prstGeom prst="rect"/>
                  </pic:spPr>
                </pic:pic>
              </a:graphicData>
            </a:graphic>
          </wp:inline>
        </w:drawing>
      </w:r>
    </w:p>
    <w:p>
      <w:pPr>
        <w:spacing w:after="120"/>
        <w:jc w:val="center"/>
      </w:pPr>
      <w:r>
        <w:rPr>
          <w:rFonts w:ascii="Arial" w:hAnsi="Arial"/>
          <w:b w:val="0"/>
          <w:i/>
          <w:color w:val="6B7280"/>
          <w:sz w:val="16"/>
        </w:rPr>
        <w:t>Figure 63  Financial statements and balances (part 16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96610" cy="4450506"/>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5896610" cy="4450506"/>
                    </a:xfrm>
                    <a:prstGeom prst="rect"/>
                  </pic:spPr>
                </pic:pic>
              </a:graphicData>
            </a:graphic>
          </wp:inline>
        </w:drawing>
      </w:r>
    </w:p>
    <w:p>
      <w:pPr>
        <w:spacing w:after="120"/>
        <w:jc w:val="center"/>
      </w:pPr>
      <w:r>
        <w:rPr>
          <w:rFonts w:ascii="Arial" w:hAnsi="Arial"/>
          <w:b w:val="0"/>
          <w:i/>
          <w:color w:val="6B7280"/>
          <w:sz w:val="16"/>
        </w:rPr>
        <w:t>Figure 64  Financial statements and balances (part 17 of 18)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7108141"/>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484620" cy="7108141"/>
                    </a:xfrm>
                    <a:prstGeom prst="rect"/>
                  </pic:spPr>
                </pic:pic>
              </a:graphicData>
            </a:graphic>
          </wp:inline>
        </w:drawing>
      </w:r>
    </w:p>
    <w:p>
      <w:pPr>
        <w:spacing w:after="120"/>
        <w:jc w:val="center"/>
      </w:pPr>
      <w:r>
        <w:rPr>
          <w:rFonts w:ascii="Arial" w:hAnsi="Arial"/>
          <w:b w:val="0"/>
          <w:i/>
          <w:color w:val="6B7280"/>
          <w:sz w:val="16"/>
        </w:rPr>
        <w:t>Figure 65  Financial statements and balances (part 18 of 18)  ·  6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6" name="Picture 66"/>
            <wp:cNvGraphicFramePr>
              <a:graphicFrameLocks noChangeAspect="1"/>
            </wp:cNvGraphicFramePr>
            <a:graphic>
              <a:graphicData uri="http://schemas.openxmlformats.org/drawingml/2006/picture">
                <pic:pic>
                  <pic:nvPicPr>
                    <pic:cNvPr id="0" name="m6_wf_templates_1.png"/>
                    <pic:cNvPicPr/>
                  </pic:nvPicPr>
                  <pic:blipFill>
                    <a:blip r:embed="rId7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7" name="Picture 67"/>
            <wp:cNvGraphicFramePr>
              <a:graphicFrameLocks noChangeAspect="1"/>
            </wp:cNvGraphicFramePr>
            <a:graphic>
              <a:graphicData uri="http://schemas.openxmlformats.org/drawingml/2006/picture">
                <pic:pic>
                  <pic:nvPicPr>
                    <pic:cNvPr id="0" name="m6_wf_templates_2.png"/>
                    <pic:cNvPicPr/>
                  </pic:nvPicPr>
                  <pic:blipFill>
                    <a:blip r:embed="rId7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8" name="Picture 68"/>
            <wp:cNvGraphicFramePr>
              <a:graphicFrameLocks noChangeAspect="1"/>
            </wp:cNvGraphicFramePr>
            <a:graphic>
              <a:graphicData uri="http://schemas.openxmlformats.org/drawingml/2006/picture">
                <pic:pic>
                  <pic:nvPicPr>
                    <pic:cNvPr id="0" name="m6_wf_templates_3.png"/>
                    <pic:cNvPicPr/>
                  </pic:nvPicPr>
                  <pic:blipFill>
                    <a:blip r:embed="rId7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9" name="Picture 69"/>
            <wp:cNvGraphicFramePr>
              <a:graphicFrameLocks noChangeAspect="1"/>
            </wp:cNvGraphicFramePr>
            <a:graphic>
              <a:graphicData uri="http://schemas.openxmlformats.org/drawingml/2006/picture">
                <pic:pic>
                  <pic:nvPicPr>
                    <pic:cNvPr id="0" name="m6_wf_templates_4.png"/>
                    <pic:cNvPicPr/>
                  </pic:nvPicPr>
                  <pic:blipFill>
                    <a:blip r:embed="rId7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0" name="Picture 70"/>
            <wp:cNvGraphicFramePr>
              <a:graphicFrameLocks noChangeAspect="1"/>
            </wp:cNvGraphicFramePr>
            <a:graphic>
              <a:graphicData uri="http://schemas.openxmlformats.org/drawingml/2006/picture">
                <pic:pic>
                  <pic:nvPicPr>
                    <pic:cNvPr id="0" name="m6_requests_1.png"/>
                    <pic:cNvPicPr/>
                  </pic:nvPicPr>
                  <pic:blipFill>
                    <a:blip r:embed="rId8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1" name="Picture 71"/>
            <wp:cNvGraphicFramePr>
              <a:graphicFrameLocks noChangeAspect="1"/>
            </wp:cNvGraphicFramePr>
            <a:graphic>
              <a:graphicData uri="http://schemas.openxmlformats.org/drawingml/2006/picture">
                <pic:pic>
                  <pic:nvPicPr>
                    <pic:cNvPr id="0" name="m6_requests_2.png"/>
                    <pic:cNvPicPr/>
                  </pic:nvPicPr>
                  <pic:blipFill>
                    <a:blip r:embed="rId8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2" name="Picture 72"/>
            <wp:cNvGraphicFramePr>
              <a:graphicFrameLocks noChangeAspect="1"/>
            </wp:cNvGraphicFramePr>
            <a:graphic>
              <a:graphicData uri="http://schemas.openxmlformats.org/drawingml/2006/picture">
                <pic:pic>
                  <pic:nvPicPr>
                    <pic:cNvPr id="0" name="m6_requests_3.png"/>
                    <pic:cNvPicPr/>
                  </pic:nvPicPr>
                  <pic:blipFill>
                    <a:blip r:embed="rId8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3" name="Picture 73"/>
            <wp:cNvGraphicFramePr>
              <a:graphicFrameLocks noChangeAspect="1"/>
            </wp:cNvGraphicFramePr>
            <a:graphic>
              <a:graphicData uri="http://schemas.openxmlformats.org/drawingml/2006/picture">
                <pic:pic>
                  <pic:nvPicPr>
                    <pic:cNvPr id="0" name="m6_requests_4.png"/>
                    <pic:cNvPicPr/>
                  </pic:nvPicPr>
                  <pic:blipFill>
                    <a:blip r:embed="rId8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4" name="Picture 74"/>
            <wp:cNvGraphicFramePr>
              <a:graphicFrameLocks noChangeAspect="1"/>
            </wp:cNvGraphicFramePr>
            <a:graphic>
              <a:graphicData uri="http://schemas.openxmlformats.org/drawingml/2006/picture">
                <pic:pic>
                  <pic:nvPicPr>
                    <pic:cNvPr id="0" name="m6_requests_5.png"/>
                    <pic:cNvPicPr/>
                  </pic:nvPicPr>
                  <pic:blipFill>
                    <a:blip r:embed="rId8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5" name="Picture 75"/>
            <wp:cNvGraphicFramePr>
              <a:graphicFrameLocks noChangeAspect="1"/>
            </wp:cNvGraphicFramePr>
            <a:graphic>
              <a:graphicData uri="http://schemas.openxmlformats.org/drawingml/2006/picture">
                <pic:pic>
                  <pic:nvPicPr>
                    <pic:cNvPr id="0" name="m6_requests_6.png"/>
                    <pic:cNvPicPr/>
                  </pic:nvPicPr>
                  <pic:blipFill>
                    <a:blip r:embed="rId8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6" name="Picture 76"/>
            <wp:cNvGraphicFramePr>
              <a:graphicFrameLocks noChangeAspect="1"/>
            </wp:cNvGraphicFramePr>
            <a:graphic>
              <a:graphicData uri="http://schemas.openxmlformats.org/drawingml/2006/picture">
                <pic:pic>
                  <pic:nvPicPr>
                    <pic:cNvPr id="0" name="m6_requests_7.png"/>
                    <pic:cNvPicPr/>
                  </pic:nvPicPr>
                  <pic:blipFill>
                    <a:blip r:embed="rId8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7" name="Picture 77"/>
            <wp:cNvGraphicFramePr>
              <a:graphicFrameLocks noChangeAspect="1"/>
            </wp:cNvGraphicFramePr>
            <a:graphic>
              <a:graphicData uri="http://schemas.openxmlformats.org/drawingml/2006/picture">
                <pic:pic>
                  <pic:nvPicPr>
                    <pic:cNvPr id="0" name="m6_notifications.png"/>
                    <pic:cNvPicPr/>
                  </pic:nvPicPr>
                  <pic:blipFill>
                    <a:blip r:embed="rId8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8" name="Picture 78"/>
            <wp:cNvGraphicFramePr>
              <a:graphicFrameLocks noChangeAspect="1"/>
            </wp:cNvGraphicFramePr>
            <a:graphic>
              <a:graphicData uri="http://schemas.openxmlformats.org/drawingml/2006/picture">
                <pic:pic>
                  <pic:nvPicPr>
                    <pic:cNvPr id="0" name="m7_8_lc_terms_1.png"/>
                    <pic:cNvPicPr/>
                  </pic:nvPicPr>
                  <pic:blipFill>
                    <a:blip r:embed="rId8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9" name="Picture 79"/>
            <wp:cNvGraphicFramePr>
              <a:graphicFrameLocks noChangeAspect="1"/>
            </wp:cNvGraphicFramePr>
            <a:graphic>
              <a:graphicData uri="http://schemas.openxmlformats.org/drawingml/2006/picture">
                <pic:pic>
                  <pic:nvPicPr>
                    <pic:cNvPr id="0" name="m7_8_lc_terms_2.png"/>
                    <pic:cNvPicPr/>
                  </pic:nvPicPr>
                  <pic:blipFill>
                    <a:blip r:embed="rId8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0" name="Picture 80"/>
            <wp:cNvGraphicFramePr>
              <a:graphicFrameLocks noChangeAspect="1"/>
            </wp:cNvGraphicFramePr>
            <a:graphic>
              <a:graphicData uri="http://schemas.openxmlformats.org/drawingml/2006/picture">
                <pic:pic>
                  <pic:nvPicPr>
                    <pic:cNvPr id="0" name="m7_8_lc_terms_3.png"/>
                    <pic:cNvPicPr/>
                  </pic:nvPicPr>
                  <pic:blipFill>
                    <a:blip r:embed="rId9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1" name="Picture 81"/>
            <wp:cNvGraphicFramePr>
              <a:graphicFrameLocks noChangeAspect="1"/>
            </wp:cNvGraphicFramePr>
            <a:graphic>
              <a:graphicData uri="http://schemas.openxmlformats.org/drawingml/2006/picture">
                <pic:pic>
                  <pic:nvPicPr>
                    <pic:cNvPr id="0" name="m7_8_lc_terms_4.png"/>
                    <pic:cNvPicPr/>
                  </pic:nvPicPr>
                  <pic:blipFill>
                    <a:blip r:embed="rId9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2" name="Picture 82"/>
            <wp:cNvGraphicFramePr>
              <a:graphicFrameLocks noChangeAspect="1"/>
            </wp:cNvGraphicFramePr>
            <a:graphic>
              <a:graphicData uri="http://schemas.openxmlformats.org/drawingml/2006/picture">
                <pic:pic>
                  <pic:nvPicPr>
                    <pic:cNvPr id="0" name="m7_8_lc_terms_5.png"/>
                    <pic:cNvPicPr/>
                  </pic:nvPicPr>
                  <pic:blipFill>
                    <a:blip r:embed="rId9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3" name="Picture 83"/>
            <wp:cNvGraphicFramePr>
              <a:graphicFrameLocks noChangeAspect="1"/>
            </wp:cNvGraphicFramePr>
            <a:graphic>
              <a:graphicData uri="http://schemas.openxmlformats.org/drawingml/2006/picture">
                <pic:pic>
                  <pic:nvPicPr>
                    <pic:cNvPr id="0" name="m7_8_lc_ops_1.png"/>
                    <pic:cNvPicPr/>
                  </pic:nvPicPr>
                  <pic:blipFill>
                    <a:blip r:embed="rId9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4" name="Picture 84"/>
            <wp:cNvGraphicFramePr>
              <a:graphicFrameLocks noChangeAspect="1"/>
            </wp:cNvGraphicFramePr>
            <a:graphic>
              <a:graphicData uri="http://schemas.openxmlformats.org/drawingml/2006/picture">
                <pic:pic>
                  <pic:nvPicPr>
                    <pic:cNvPr id="0" name="m7_8_lc_ops_2.png"/>
                    <pic:cNvPicPr/>
                  </pic:nvPicPr>
                  <pic:blipFill>
                    <a:blip r:embed="rId9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5" name="Picture 85"/>
            <wp:cNvGraphicFramePr>
              <a:graphicFrameLocks noChangeAspect="1"/>
            </wp:cNvGraphicFramePr>
            <a:graphic>
              <a:graphicData uri="http://schemas.openxmlformats.org/drawingml/2006/picture">
                <pic:pic>
                  <pic:nvPicPr>
                    <pic:cNvPr id="0" name="m7_8_lc_ops_3.png"/>
                    <pic:cNvPicPr/>
                  </pic:nvPicPr>
                  <pic:blipFill>
                    <a:blip r:embed="rId9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6" name="Picture 86"/>
            <wp:cNvGraphicFramePr>
              <a:graphicFrameLocks noChangeAspect="1"/>
            </wp:cNvGraphicFramePr>
            <a:graphic>
              <a:graphicData uri="http://schemas.openxmlformats.org/drawingml/2006/picture">
                <pic:pic>
                  <pic:nvPicPr>
                    <pic:cNvPr id="0" name="m7_8_lc_ops_4.png"/>
                    <pic:cNvPicPr/>
                  </pic:nvPicPr>
                  <pic:blipFill>
                    <a:blip r:embed="rId9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7" name="Picture 87"/>
            <wp:cNvGraphicFramePr>
              <a:graphicFrameLocks noChangeAspect="1"/>
            </wp:cNvGraphicFramePr>
            <a:graphic>
              <a:graphicData uri="http://schemas.openxmlformats.org/drawingml/2006/picture">
                <pic:pic>
                  <pic:nvPicPr>
                    <pic:cNvPr id="0" name="m7_8_lc_ops_5.png"/>
                    <pic:cNvPicPr/>
                  </pic:nvPicPr>
                  <pic:blipFill>
                    <a:blip r:embed="rId9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8" name="Picture 88"/>
            <wp:cNvGraphicFramePr>
              <a:graphicFrameLocks noChangeAspect="1"/>
            </wp:cNvGraphicFramePr>
            <a:graphic>
              <a:graphicData uri="http://schemas.openxmlformats.org/drawingml/2006/picture">
                <pic:pic>
                  <pic:nvPicPr>
                    <pic:cNvPr id="0" name="m7_8_lc_ops_6.png"/>
                    <pic:cNvPicPr/>
                  </pic:nvPicPr>
                  <pic:blipFill>
                    <a:blip r:embed="rId9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9" name="Picture 89"/>
            <wp:cNvGraphicFramePr>
              <a:graphicFrameLocks noChangeAspect="1"/>
            </wp:cNvGraphicFramePr>
            <a:graphic>
              <a:graphicData uri="http://schemas.openxmlformats.org/drawingml/2006/picture">
                <pic:pic>
                  <pic:nvPicPr>
                    <pic:cNvPr id="0" name="m7_8_lc_ops_7.png"/>
                    <pic:cNvPicPr/>
                  </pic:nvPicPr>
                  <pic:blipFill>
                    <a:blip r:embed="rId9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0" name="Picture 90"/>
            <wp:cNvGraphicFramePr>
              <a:graphicFrameLocks noChangeAspect="1"/>
            </wp:cNvGraphicFramePr>
            <a:graphic>
              <a:graphicData uri="http://schemas.openxmlformats.org/drawingml/2006/picture">
                <pic:pic>
                  <pic:nvPicPr>
                    <pic:cNvPr id="0" name="m7_8_lc_ops_8.png"/>
                    <pic:cNvPicPr/>
                  </pic:nvPicPr>
                  <pic:blipFill>
                    <a:blip r:embed="rId10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1" name="Picture 91"/>
            <wp:cNvGraphicFramePr>
              <a:graphicFrameLocks noChangeAspect="1"/>
            </wp:cNvGraphicFramePr>
            <a:graphic>
              <a:graphicData uri="http://schemas.openxmlformats.org/drawingml/2006/picture">
                <pic:pic>
                  <pic:nvPicPr>
                    <pic:cNvPr id="0" name="m7_8_lc_ops_9.png"/>
                    <pic:cNvPicPr/>
                  </pic:nvPicPr>
                  <pic:blipFill>
                    <a:blip r:embed="rId10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fin.EarlyWarningAlert</w:t>
            </w:r>
          </w:p>
        </w:tc>
        <w:tc>
          <w:tcPr>
            <w:tcW w:type="dxa" w:w="10205"/>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fin.IndustryProfile</w:t>
            </w:r>
          </w:p>
        </w:tc>
        <w:tc>
          <w:tcPr>
            <w:tcW w:type="dxa" w:w="10205"/>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fin.IndustrySensitivity</w:t>
            </w:r>
          </w:p>
        </w:tc>
        <w:tc>
          <w:tcPr>
            <w:tcW w:type="dxa" w:w="10205"/>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fin.LenderRating</w:t>
            </w:r>
          </w:p>
        </w:tc>
        <w:tc>
          <w:tcPr>
            <w:tcW w:type="dxa" w:w="10205"/>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w:t>
            </w:r>
          </w:p>
        </w:tc>
        <w:tc>
          <w:tcPr>
            <w:tcW w:type="dxa" w:w="10205"/>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fin.MacroScenarioCountry</w:t>
            </w:r>
          </w:p>
        </w:tc>
        <w:tc>
          <w:tcPr>
            <w:tcW w:type="dxa" w:w="10205"/>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fin.PresentationVersion</w:t>
            </w:r>
          </w:p>
        </w:tc>
        <w:tc>
          <w:tcPr>
            <w:tcW w:type="dxa" w:w="10205"/>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fin.PresentationVersionStep</w:t>
            </w:r>
          </w:p>
        </w:tc>
        <w:tc>
          <w:tcPr>
            <w:tcW w:type="dxa" w:w="10205"/>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922</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208</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714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633</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797</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