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وثيقة تصميم قاعدة البيانات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14"/>
        <w:gridCol w:w="8250"/>
      </w:tblGrid>
      <w:tr>
        <w:trPr>
          <w:cantSplit/>
          <w:tblHeader/>
        </w:trPr>
        <w:tc>
          <w:tcPr>
            <w:tcW w:type="dxa" w:w="16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0.3)</w:t>
            </w:r>
            <w:r>
              <w:rPr>
                <w:rFonts w:ascii="Arial" w:cs="Arial" w:eastAsia="Arial" w:hAnsi="Arial"/>
                <w:b w:val="false"/>
                <w:bCs w:val="false"/>
                <w:sz w:val="18"/>
                <w:szCs w:val="18"/>
                <w:rtl/>
              </w:rPr>
              <w:t xml:space="preserve"> — التصميم مكتمل لكل وحدات </w:t>
            </w:r>
            <w:r>
              <w:rPr>
                <w:rFonts w:ascii="Courier New" w:cs="Courier New" w:eastAsia="Courier New" w:hAnsi="Courier New"/>
                <w:b w:val="false"/>
                <w:bCs w:val="false"/>
                <w:color w:val="1F2937"/>
                <w:sz w:val="16"/>
                <w:szCs w:val="16"/>
                <w:shd w:fill="F1F3F5" w:color="auto" w:val="clear"/>
                <w:rtl/>
              </w:rPr>
              <w:t xml:space="preserve">‎10…14‎</w:t>
            </w:r>
            <w:r>
              <w:rPr>
                <w:rFonts w:ascii="Arial" w:cs="Arial" w:eastAsia="Arial" w:hAnsi="Arial"/>
                <w:b w:val="false"/>
                <w:bCs w:val="false"/>
                <w:sz w:val="18"/>
                <w:szCs w:val="18"/>
                <w:rtl/>
              </w:rPr>
              <w:t xml:space="preserve"> مع وحدة القوائم المالية (ADR 0016) والتقييم الائتماني على سلّم موديز (ADR 0017، ونسختاه 2.0 و2.1: ADR 0018 و0019) وإصلاحات المراجعة الذاتية (ADR 0015)؛ نُشر على SQL Server 2025 في بيئة التطوير ويمر CI كاملًا (انظر §14)؛ لم يُنشر على خادم الإنتاج بعد</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(TMP) — قاعدة البيانات </w:t>
            </w:r>
            <w:r>
              <w:rPr>
                <w:rFonts w:ascii="Courier New" w:cs="Courier New" w:eastAsia="Courier New" w:hAnsi="Courier New"/>
                <w:b w:val="false"/>
                <w:bCs w:val="false"/>
                <w:color w:val="1F2937"/>
                <w:sz w:val="16"/>
                <w:szCs w:val="16"/>
                <w:shd w:fill="F1F3F5" w:color="auto" w:val="clear"/>
                <w:rtl/>
              </w:rPr>
              <w:t xml:space="preserve">‎BankFas‎</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(آخر إصدار؛ قاعدة سياسة الإصدارات في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§13)</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 الهندسي</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(249 جدولًا، §1) — </w:t>
            </w:r>
            <w:r>
              <w:rPr>
                <w:rFonts w:ascii="Arial" w:cs="Arial" w:eastAsia="Arial" w:hAnsi="Arial"/>
                <w:b/>
                <w:bCs/>
                <w:sz w:val="18"/>
                <w:szCs w:val="18"/>
                <w:rtl/>
              </w:rPr>
              <w:t xml:space="preserve">الملفات المولَّدة لا تُعدَّل يدويًا</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المخرجات</w:t>
            </w:r>
          </w:p>
        </w:tc>
        <w:tc>
          <w:tcPr>
            <w:tcW w:type="dxa" w:w="8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w:t>
            </w:r>
            <w:r>
              <w:rPr>
                <w:rFonts w:ascii="Arial" w:cs="Arial" w:eastAsia="Arial" w:hAnsi="Arial"/>
                <w:b w:val="false"/>
                <w:bCs w:val="false"/>
                <w:sz w:val="18"/>
                <w:szCs w:val="18"/>
                <w:rtl/>
              </w:rPr>
              <w:t xml:space="preserve"> (SQL Server) · </w:t>
            </w:r>
            <w:r>
              <w:rPr>
                <w:rFonts w:ascii="Courier New" w:cs="Courier New" w:eastAsia="Courier New" w:hAnsi="Courier New"/>
                <w:b w:val="false"/>
                <w:bCs w:val="false"/>
                <w:color w:val="1F2937"/>
                <w:sz w:val="16"/>
                <w:szCs w:val="16"/>
                <w:shd w:fill="F1F3F5" w:color="auto" w:val="clear"/>
                <w:rtl/>
              </w:rPr>
              <w:t xml:space="preserve">‎db/static/*‎</w:t>
            </w:r>
            <w:r>
              <w:rPr>
                <w:rFonts w:ascii="Arial" w:cs="Arial" w:eastAsia="Arial" w:hAnsi="Arial"/>
                <w:b w:val="false"/>
                <w:bCs w:val="false"/>
                <w:sz w:val="18"/>
                <w:szCs w:val="18"/>
                <w:rtl/>
              </w:rPr>
              <w:t xml:space="preserve"> (الأدوار والـRLS والجلسة والعروض والحراس) ·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‎21-data-dictionary.md‎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‎22-erd-by-schema.md‎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(التحقق الثابت للصلاحيات)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(أرقام هذه الوثيقة)</w:t>
            </w:r>
          </w:p>
        </w:tc>
      </w:tr>
      <w:tr>
        <w:trPr>
          <w:cantSplit/>
        </w:trPr>
        <w:tc>
          <w:tcPr>
            <w:tcW w:type="dxa" w:w="161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المتطلبات</w:t>
            </w:r>
          </w:p>
        </w:tc>
        <w:tc>
          <w:tcPr>
            <w:tcW w:type="dxa" w:w="8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490 متطلبًا وظيفيًا في </w:t>
            </w:r>
            <w:r>
              <w:rPr>
                <w:rFonts w:ascii="Courier New" w:cs="Courier New" w:eastAsia="Courier New" w:hAnsi="Courier New"/>
                <w:b w:val="false"/>
                <w:bCs w:val="false"/>
                <w:color w:val="1F2937"/>
                <w:sz w:val="16"/>
                <w:szCs w:val="16"/>
                <w:shd w:fill="F1F3F5" w:color="auto" w:val="clear"/>
                <w:rtl/>
              </w:rPr>
              <w:t xml:space="preserve">‎10-detailed-analysis/10…14‎</w:t>
            </w:r>
            <w:r>
              <w:rPr>
                <w:rFonts w:ascii="Arial" w:cs="Arial" w:eastAsia="Arial" w:hAnsi="Arial"/>
                <w:b w:val="false"/>
                <w:bCs w:val="false"/>
                <w:sz w:val="18"/>
                <w:szCs w:val="18"/>
                <w:rtl/>
              </w:rPr>
              <w:t xml:space="preserve"> (فهرس: </w:t>
            </w:r>
            <w:r>
              <w:rPr>
                <w:rFonts w:ascii="Courier New" w:cs="Courier New" w:eastAsia="Courier New" w:hAnsi="Courier New"/>
                <w:b w:val="false"/>
                <w:bCs w:val="false"/>
                <w:color w:val="1F2937"/>
                <w:sz w:val="16"/>
                <w:szCs w:val="16"/>
                <w:shd w:fill="F1F3F5" w:color="auto" w:val="clear"/>
                <w:rtl/>
              </w:rPr>
              <w:t xml:space="preserve">‎10-detailed-analysis/91-requirements-index.md‎</w:t>
            </w:r>
            <w:r>
              <w:rPr>
                <w:rFonts w:ascii="Arial" w:cs="Arial" w:eastAsia="Arial" w:hAnsi="Arial"/>
                <w:b w:val="false"/>
                <w:bCs w:val="false"/>
                <w:sz w:val="18"/>
                <w:szCs w:val="18"/>
                <w:rtl/>
              </w:rPr>
              <w:t xml:space="preserve">)</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خريطة المخططات والجداول</w:t>
        </w:r>
      </w:hyperlink>
    </w:p>
    <w:p>
      <w:pPr>
        <w:bidi/>
        <w:spacing w:after="50" w:before="0"/>
        <w:ind w:left="0"/>
      </w:pPr>
      <w:hyperlink w:history="1" w:anchor="_sec46">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52">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57">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58">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59">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60">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61">
        <w:r>
          <w:rPr>
            <w:rFonts w:ascii="Arial" w:cs="Arial" w:eastAsia="Arial" w:hAnsi="Arial"/>
            <w:b/>
            <w:bCs/>
            <w:color w:val="1F3A5F"/>
            <w:sz w:val="20"/>
            <w:szCs w:val="20"/>
            <w:rtl/>
          </w:rPr>
          <w:t xml:space="preserve">17. الخطوة التالية</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1"/>
        <w:gridCol w:w="4525"/>
        <w:gridCol w:w="4378"/>
      </w:tblGrid>
      <w:tr>
        <w:trPr>
          <w:cantSplit/>
          <w:tblHeader/>
        </w:trPr>
        <w:tc>
          <w:tcPr>
            <w:tcW w:type="dxa" w:w="9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سكربتات الترحيل بين الإصدارات؛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249</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4,128 مُعرَّفة في النماذج + الأعمدة الآلية = </w:t>
            </w:r>
            <w:r>
              <w:rPr>
                <w:rFonts w:ascii="Arial" w:cs="Arial" w:eastAsia="Arial" w:hAnsi="Arial"/>
                <w:b/>
                <w:bCs/>
                <w:sz w:val="18"/>
                <w:szCs w:val="18"/>
                <w:rtl/>
              </w:rPr>
              <w:t xml:space="preserve">4,739</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922</w:t>
            </w:r>
            <w:r>
              <w:rPr>
                <w:rFonts w:ascii="Arial" w:cs="Arial" w:eastAsia="Arial" w:hAnsi="Arial"/>
                <w:b w:val="false"/>
                <w:bCs w:val="false"/>
                <w:sz w:val="18"/>
                <w:szCs w:val="18"/>
                <w:rtl/>
              </w:rPr>
              <w:t xml:space="preserve"> = 209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585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797 غير مجمّع (233 مصفّاة · 51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1,468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503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+ 152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 (204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الـ42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العالمية المحجوبة الخمسة والداخلية الثلاثة (§3.3)؛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199</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موقع المرساة قرار مفتوح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خريطة المخططات والجداول</w:t>
      </w:r>
      <w:bookmarkEnd w:id="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3"/>
        <w:gridCol w:w="6978"/>
        <w:gridCol w:w="1443"/>
      </w:tblGrid>
      <w:tr>
        <w:trPr>
          <w:cantSplit/>
          <w:tblHeader/>
        </w:trPr>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المخطط</w:t>
            </w:r>
          </w:p>
        </w:tc>
        <w:tc>
          <w:tcPr>
            <w:tcW w:type="dxa" w:w="6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14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الوحدة</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Plan, PlanModule, Tenant, ReservedSubdomain, PlatformOperator, TenantModule, SupportAccessGrant, OperatorToken, OperatorSession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 AppUser, Role, Permission, RolePermission, UserRole, UserCompanyScope, LoginAttempt, SessionBinding, UserSession, MfaRecoveryCode, UserToken, UserPasswordHistory, ExternalIdentity, TenantKey, KeyEvent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AuditLog, SensitiveAccessLog</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 Document, DocumentVersion, DocumentLink</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SettingDefinition, TenantSetting, NumberSequenceDefinition, NumberSequence, NumberIssue, ExpiryAlertRule, ExpiryAlertRuleRole, ExpiryAlertLog, DataExportJob, NonWorkingDay, OutboxEvent, JobDefinition, JobRun, SeedRun</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م0</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Company, CompanyTaxRate, Department, Shareholding, GoverningBody, BodyMember, AuthorityGrant, CompanyProfile, CompanyBranch, CompanyKycFinancialProfile, CompanyExpectedFlow, CompanyWealthSource, CompanyDisclosure, CompanyKeyRelation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 Party, IdentityDocument, Address, ContactMethod, CustomFieldDefinition, PartyCustomField, KycProfile, KycProfileItem, KycProfileItemLegalForm, PartyCompliance, TaxIdentity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م1</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Country, Currency, Incoterm, UcpArticle, </w:t>
            </w:r>
            <w:r>
              <w:rPr>
                <w:rFonts w:ascii="Arial" w:cs="Arial" w:eastAsia="Arial" w:hAnsi="Arial"/>
                <w:b/>
                <w:bCs/>
                <w:sz w:val="18"/>
                <w:szCs w:val="18"/>
                <w:rtl/>
              </w:rPr>
              <w:t xml:space="preserve">Industry</w:t>
            </w:r>
            <w:r>
              <w:rPr>
                <w:rFonts w:ascii="Arial" w:cs="Arial" w:eastAsia="Arial" w:hAnsi="Arial"/>
                <w:b w:val="false"/>
                <w:bCs w:val="false"/>
                <w:sz w:val="18"/>
                <w:szCs w:val="18"/>
                <w:rtl/>
              </w:rPr>
              <w:t xml:space="preserve"> (الأقسام والفروع والأنشطة التفصيلية)</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مرجعي</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 — TenantCurrency, InstitutionType, AccountType, LegalEntityType, DocumentType, Position, PowerType, OperationType, OperationTypePowerType, ProductCategory, Product, FeeType, FinancingType, ProductFeeType, ProductFinancingType, FacilityType, LimitType, LimitTypeProduct, CollateralType, CollateralTypeAttribute, ObligationType, BaseRate, BaseRateAlias, BaseRateValue, LookupList, LookupItem</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م4</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Institution, InstitutionUnit, Contact, Relationship, RelationshipContact, RelationshipProduct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م2</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 BankAccount, FacilityAccount, Signatory, SignatoryAuthority, SignatoryAuthorityJointClass, AuthorityConflict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م3</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 Facility, FacilityRevision, FacilityDocument, FacilityLender, OutstandingSnapshot, FacilityLenderDecision, Limit, LimitProductLine, LimitCompanyRule, ProductLineTerm, Utilization, LimitReservation, LimitMovement, ValueConflict</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 TariffSchedule, TariffItem, TariffTier, PricingRule, PricingTier</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 TermType, TermValue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Collateral, CollateralLink, Guarantee, PromissoryNote, PromissoryNoteSigner, InsurancePolicyAssignment, ValuationSchedule</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 Obligation, ObligationCompany, ReportingObligation, ReportingInstance, Covenant, CovenantAccount, CovenantTest, </w:t>
            </w:r>
            <w:r>
              <w:rPr>
                <w:rFonts w:ascii="Arial" w:cs="Arial" w:eastAsia="Arial" w:hAnsi="Arial"/>
                <w:b/>
                <w:bCs/>
                <w:sz w:val="18"/>
                <w:szCs w:val="18"/>
                <w:rtl/>
              </w:rPr>
              <w:t xml:space="preserve">CovenantTestStatement</w:t>
            </w:r>
            <w:r>
              <w:rPr>
                <w:rFonts w:ascii="Arial" w:cs="Arial" w:eastAsia="Arial" w:hAnsi="Arial"/>
                <w:b w:val="false"/>
                <w:bCs w:val="false"/>
                <w:sz w:val="18"/>
                <w:szCs w:val="18"/>
                <w:rtl/>
              </w:rPr>
              <w:t xml:space="preserve">, ObligationBreach</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 — LineCatalogItem, LineCatalogItemAlias, FinancialStatement, StatementLine, ConsolidationMember, StatementRatio, RevenueEstimate, AccountMonthlyStat, BankFlowEntry, MeasureFormula, </w:t>
            </w:r>
            <w:r>
              <w:rPr>
                <w:rFonts w:ascii="Arial" w:cs="Arial" w:eastAsia="Arial" w:hAnsi="Arial"/>
                <w:b/>
                <w:bCs/>
                <w:sz w:val="18"/>
                <w:szCs w:val="18"/>
                <w:rtl/>
              </w:rPr>
              <w:t xml:space="preserve">RatingGrade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ScorecardMetric</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ScorecardItemRule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ScorecardAdjustment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ScorecardParameter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ScorecardSubfactor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StandardLineTotal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ProductCategory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ShockDriver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MacroScenarioIntensity, MacroScenarioCountry, PresentationVersion, PresentationVersionStep, LenderRating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IndustrySensitivity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CountryRiskProfile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CountryRegion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RiskAnchor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CreditRemedyStep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StrengtheningPlanMember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CreditAssessmentInput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CreditAssessmentFinding</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CreditAssessmentGuarantor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CreditAssessmentBureau</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CompanyProductLine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CreditAssessmentReclass</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CreditAssessmentFacility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CreditAssessmentRemedy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CreditAssessmentScenario</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CreditAssessmentPlanStep</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CreditAssessmentTrigger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EarlyWarningAlert</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م5</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 — RequestType, RequestTypeAudience, ExternalPhase, WorkflowTemplate, WorkflowStage, StageApprover, WorkflowTransition, WorkflowStageHook, TemplateField, TemplateAttachmentRule, Request, RequestComment, RequestAttachment, RequestExternalRef, RequestStageInstance, RequestApproval, RequestAction, HookExecution, UserDelegation</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w:t>
            </w:r>
          </w:p>
        </w:tc>
        <w:tc>
          <w:tcPr>
            <w:tcW w:type="dxa" w:w="6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 NotificationEventType, NotificationRule, NotificationTemplate, NotificationPreference, DigestBatch, Notification, NotificationDelivery</w:t>
            </w:r>
          </w:p>
        </w:tc>
        <w:tc>
          <w:tcPr>
            <w:tcW w:type="dxa" w:w="14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م6</w:t>
            </w:r>
          </w:p>
        </w:tc>
      </w:tr>
      <w:tr>
        <w:trPr>
          <w:cantSplit/>
        </w:trPr>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w:t>
            </w:r>
          </w:p>
        </w:tc>
        <w:tc>
          <w:tcPr>
            <w:tcW w:type="dxa" w:w="6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 — LcFieldDefinition, LcFieldUcpRef, Counterparty, LcDocumentClause, LcDocumentClauseUcpRef, LcTerms, LcTermsDocument, LcChargesMatrix, LcFormTemplate, LcFormFieldMap, LetterOfCredit, LcExternalRef, LcAmendment, LcDrawing, LcSalesOrder, LcDrawingAllocation, LcDiscrepancy, ProformaInvoice, ProformaLine, LcTermsComparison, LcTermsComparisonLine</w:t>
            </w:r>
          </w:p>
        </w:tc>
        <w:tc>
          <w:tcPr>
            <w:tcW w:type="dxa" w:w="14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م7/م8</w:t>
            </w:r>
          </w:p>
        </w:tc>
      </w:tr>
    </w:tbl>
    <w:p>
      <w:pPr>
        <w:bidi/>
        <w:spacing w:after="120" w:before="0"/>
      </w:pPr>
    </w:p>
    <w:p>
      <w:pPr>
        <w:bidi/>
        <w:spacing w:after="110" w:before="0" w:line="312"/>
      </w:pPr>
      <w:r>
        <w:rPr>
          <w:rFonts w:ascii="Arial" w:cs="Arial" w:eastAsia="Arial" w:hAnsi="Arial"/>
          <w:b w:val="false"/>
          <w:bCs w:val="false"/>
          <w:sz w:val="21"/>
          <w:szCs w:val="21"/>
          <w:rtl/>
        </w:rPr>
        <w:t xml:space="preserve">مجموع العمود هو عدد الجداول في §1. بالخط العريض الأربعون جدولًا للتقييم الائتماني (ADR 0017 إلى 0019): المنهجية العالمية للمنصة (من </w:t>
      </w:r>
      <w:r>
        <w:rPr>
          <w:rFonts w:ascii="Courier New" w:cs="Courier New" w:eastAsia="Courier New" w:hAnsi="Courier New"/>
          <w:b w:val="false"/>
          <w:bCs w:val="false"/>
          <w:color w:val="1F2937"/>
          <w:sz w:val="18"/>
          <w:szCs w:val="18"/>
          <w:shd w:fill="F1F3F5" w:color="auto" w:val="clear"/>
          <w:rtl/>
        </w:rPr>
        <w:t xml:space="preserve">‎RatingGrade‎</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‎CreditText‎</w:t>
      </w:r>
      <w:r>
        <w:rPr>
          <w:rFonts w:ascii="Arial" w:cs="Arial" w:eastAsia="Arial" w:hAnsi="Arial"/>
          <w:b w:val="false"/>
          <w:bCs w:val="false"/>
          <w:sz w:val="21"/>
          <w:szCs w:val="21"/>
          <w:rtl/>
        </w:rPr>
        <w:t xml:space="preserve">، ومعها </w:t>
      </w:r>
      <w:r>
        <w:rPr>
          <w:rFonts w:ascii="Courier New" w:cs="Courier New" w:eastAsia="Courier New" w:hAnsi="Courier New"/>
          <w:b w:val="false"/>
          <w:bCs w:val="false"/>
          <w:color w:val="1F2937"/>
          <w:sz w:val="18"/>
          <w:szCs w:val="18"/>
          <w:shd w:fill="F1F3F5" w:color="auto" w:val="clear"/>
          <w:rtl/>
        </w:rPr>
        <w:t xml:space="preserve">‎ref.Industry‎</w:t>
      </w:r>
      <w:r>
        <w:rPr>
          <w:rFonts w:ascii="Arial" w:cs="Arial" w:eastAsia="Arial" w:hAnsi="Arial"/>
          <w:b w:val="false"/>
          <w:bCs w:val="false"/>
          <w:sz w:val="21"/>
          <w:szCs w:val="21"/>
          <w:rtl/>
        </w:rPr>
        <w:t xml:space="preserve">)، ثم جداول المشترك (من </w:t>
      </w:r>
      <w:r>
        <w:rPr>
          <w:rFonts w:ascii="Courier New" w:cs="Courier New" w:eastAsia="Courier New" w:hAnsi="Courier New"/>
          <w:b w:val="false"/>
          <w:bCs w:val="false"/>
          <w:color w:val="1F2937"/>
          <w:sz w:val="18"/>
          <w:szCs w:val="18"/>
          <w:shd w:fill="F1F3F5" w:color="auto" w:val="clear"/>
          <w:rtl/>
        </w:rPr>
        <w:t xml:space="preserve">‎CreditAssessment‎</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‎CreditAssessmentTrigger‎</w:t>
      </w:r>
      <w:r>
        <w:rPr>
          <w:rFonts w:ascii="Arial" w:cs="Arial" w:eastAsia="Arial" w:hAnsi="Arial"/>
          <w:b w:val="false"/>
          <w:bCs w:val="false"/>
          <w:sz w:val="21"/>
          <w:szCs w:val="21"/>
          <w:rtl/>
        </w:rPr>
        <w:t xml:space="preserve">).</w:t>
      </w:r>
    </w:p>
    <w:p>
      <w:pPr>
        <w:bidi/>
        <w:spacing w:after="110" w:before="0" w:line="312"/>
      </w:pPr>
      <w:r>
        <w:rPr>
          <w:rFonts w:ascii="Arial" w:cs="Arial" w:eastAsia="Arial" w:hAnsi="Arial"/>
          <w:b w:val="false"/>
          <w:bCs w:val="false"/>
          <w:sz w:val="21"/>
          <w:szCs w:val="21"/>
          <w:rtl/>
        </w:rPr>
        <w:t xml:space="preserve">القاموس الكامل (عمود بعمود: النوع، الإلزام، الافتراضي، المرجع، الحساسية، الوصف): </w:t>
      </w:r>
      <w:r>
        <w:rPr>
          <w:rFonts w:ascii="Courier New" w:cs="Courier New" w:eastAsia="Courier New" w:hAnsi="Courier New"/>
          <w:b w:val="false"/>
          <w:bCs w:val="false"/>
          <w:color w:val="1F2937"/>
          <w:sz w:val="18"/>
          <w:szCs w:val="18"/>
          <w:shd w:fill="F1F3F5" w:color="auto" w:val="clear"/>
          <w:rtl/>
        </w:rPr>
        <w:t xml:space="preserve">‎21-data-dictionary.md‎</w:t>
      </w:r>
      <w:r>
        <w:rPr>
          <w:rFonts w:ascii="Arial" w:cs="Arial" w:eastAsia="Arial" w:hAnsi="Arial"/>
          <w:b w:val="false"/>
          <w:bCs w:val="false"/>
          <w:sz w:val="21"/>
          <w:szCs w:val="21"/>
          <w:rtl/>
        </w:rPr>
        <w:t xml:space="preserve">. مخططات العلاقات لكل مخطط: </w:t>
      </w:r>
      <w:r>
        <w:rPr>
          <w:rFonts w:ascii="Courier New" w:cs="Courier New" w:eastAsia="Courier New" w:hAnsi="Courier New"/>
          <w:b w:val="false"/>
          <w:bCs w:val="false"/>
          <w:color w:val="1F2937"/>
          <w:sz w:val="18"/>
          <w:szCs w:val="18"/>
          <w:shd w:fill="F1F3F5" w:color="auto" w:val="clear"/>
          <w:rtl/>
        </w:rPr>
        <w:t xml:space="preserve">‎22-erd-by-schema.md‎</w:t>
      </w:r>
      <w:r>
        <w:rPr>
          <w:rFonts w:ascii="Arial" w:cs="Arial" w:eastAsia="Arial" w:hAnsi="Arial"/>
          <w:b w:val="false"/>
          <w:bCs w:val="false"/>
          <w:sz w:val="21"/>
          <w:szCs w:val="21"/>
          <w:rtl/>
        </w:rPr>
        <w:t xml:space="preserve">.</w:t>
      </w:r>
    </w:p>
    <w:p>
      <w:pPr>
        <w:pStyle w:val="Heading2"/>
        <w:bidi/>
      </w:pPr>
      <w:bookmarkStart w:name="_sec32" w:id="32"/>
      <w:r>
        <w:rPr>
          <w:rFonts w:ascii="Arial" w:cs="Arial" w:eastAsia="Arial" w:hAnsi="Arial"/>
          <w:b/>
          <w:bCs/>
          <w:color w:val="2B5C8A"/>
          <w:sz w:val="26"/>
          <w:szCs w:val="26"/>
          <w:rtl/>
        </w:rPr>
        <w:t xml:space="preserve">10.1 تغطية المتطلبات</w:t>
      </w:r>
      <w:bookmarkEnd w:id="32"/>
    </w:p>
    <w:p>
      <w:pPr>
        <w:bidi/>
        <w:spacing w:after="110" w:before="0" w:line="312"/>
      </w:pPr>
      <w:r>
        <w:rPr>
          <w:rFonts w:ascii="Arial" w:cs="Arial" w:eastAsia="Arial" w:hAnsi="Arial"/>
          <w:b w:val="false"/>
          <w:bCs w:val="false"/>
          <w:sz w:val="21"/>
          <w:szCs w:val="21"/>
          <w:rtl/>
        </w:rPr>
        <w:t xml:space="preserve">فُحص آليًا أن كل كيان مسمّى في القسم 6 من المواصفات (</w:t>
      </w:r>
      <w:r>
        <w:rPr>
          <w:rFonts w:ascii="Courier New" w:cs="Courier New" w:eastAsia="Courier New" w:hAnsi="Courier New"/>
          <w:b w:val="false"/>
          <w:bCs w:val="false"/>
          <w:color w:val="1F2937"/>
          <w:sz w:val="18"/>
          <w:szCs w:val="18"/>
          <w:shd w:fill="F1F3F5" w:color="auto" w:val="clear"/>
          <w:rtl/>
        </w:rPr>
        <w:t xml:space="preserve">‎10…14‎</w:t>
      </w:r>
      <w:r>
        <w:rPr>
          <w:rFonts w:ascii="Arial" w:cs="Arial" w:eastAsia="Arial" w:hAnsi="Arial"/>
          <w:b w:val="false"/>
          <w:bCs w:val="false"/>
          <w:sz w:val="21"/>
          <w:szCs w:val="21"/>
          <w:rtl/>
        </w:rPr>
        <w:t xml:space="preserve">) له جدول في النموذج؛ لم يظهر كيان ناقص. تعيين المتطلبات إلى الجداول مرجعه تعليقات النماذج (</w:t>
      </w:r>
      <w:r>
        <w:rPr>
          <w:rFonts w:ascii="Courier New" w:cs="Courier New" w:eastAsia="Courier New" w:hAnsi="Courier New"/>
          <w:b w:val="false"/>
          <w:bCs w:val="false"/>
          <w:color w:val="1F2937"/>
          <w:sz w:val="18"/>
          <w:szCs w:val="18"/>
          <w:shd w:fill="F1F3F5" w:color="auto" w:val="clear"/>
          <w:rtl/>
        </w:rPr>
        <w:t xml:space="preserve">‎FR-…‎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‎BR-…‎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‎V-…‎</w:t>
      </w:r>
      <w:r>
        <w:rPr>
          <w:rFonts w:ascii="Arial" w:cs="Arial" w:eastAsia="Arial" w:hAnsi="Arial"/>
          <w:b w:val="false"/>
          <w:bCs w:val="false"/>
          <w:sz w:val="21"/>
          <w:szCs w:val="21"/>
          <w:rtl/>
        </w:rPr>
        <w:t xml:space="preserve"> في كل جدول وعمود).</w:t>
      </w:r>
    </w:p>
    <w:p>
      <w:pPr>
        <w:pStyle w:val="Heading2"/>
        <w:bidi/>
      </w:pPr>
      <w:bookmarkStart w:name="_sec33" w:id="33"/>
      <w:r>
        <w:rPr>
          <w:rFonts w:ascii="Arial" w:cs="Arial" w:eastAsia="Arial" w:hAnsi="Arial"/>
          <w:b/>
          <w:bCs/>
          <w:color w:val="2B5C8A"/>
          <w:sz w:val="26"/>
          <w:szCs w:val="26"/>
          <w:rtl/>
        </w:rPr>
        <w:t xml:space="preserve">10.2 مخططات العلاقات حسب الوحدة</w:t>
      </w:r>
      <w:bookmarkEnd w:id="33"/>
    </w:p>
    <w:p>
      <w:pPr>
        <w:bidi/>
        <w:spacing w:after="110" w:before="0" w:line="312"/>
      </w:pPr>
      <w:r>
        <w:rPr>
          <w:rFonts w:ascii="Arial" w:cs="Arial" w:eastAsia="Arial" w:hAnsi="Arial"/>
          <w:b w:val="false"/>
          <w:bCs w:val="false"/>
          <w:sz w:val="21"/>
          <w:szCs w:val="21"/>
          <w:rtl/>
        </w:rPr>
        <w:t xml:space="preserve">تُقرأ الصور كما يلي: كل صندوق جدول، وتحته مفتاحه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ومفاتيحه الأجنبية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مع الجدول الذي يشير إليه، والأسهم هي المفاتيح الأجنبية الفعلية ويُكتب اسم العمود على السهم. الصورة تعرض جداول المجموعة فقط (حتى أربعة جداول)، والعلاقات إلى جداول خارجها تُقرأ من جدول العلاقات.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(انظر §3.7)، ولم يُرسم ذلك في كل صورة.</w:t>
      </w:r>
    </w:p>
    <w:p>
      <w:pPr>
        <w:pStyle w:val="Heading3"/>
        <w:bidi/>
      </w:pPr>
      <w:bookmarkStart w:name="_sec34" w:id="34"/>
      <w:r>
        <w:rPr>
          <w:rFonts w:ascii="Arial" w:cs="Arial" w:eastAsia="Arial" w:hAnsi="Arial"/>
          <w:b/>
          <w:bCs/>
          <w:color w:val="2B5C8A"/>
          <w:sz w:val="23"/>
          <w:szCs w:val="23"/>
          <w:rtl/>
        </w:rPr>
        <w:t xml:space="preserve">الهوية والمشترك والصلاحيات (م0)</w:t>
      </w:r>
      <w:bookmarkEnd w:id="34"/>
    </w:p>
    <w:p>
      <w:pPr>
        <w:keepNext/>
        <w:bidi/>
        <w:spacing w:after="60" w:before="160"/>
        <w:jc w:val="center"/>
      </w:pPr>
      <w:r>
        <w:drawing>
          <wp:inline distT="0" distB="0" distL="0" distR="0">
            <wp:extent cx="5114925" cy="8191500"/>
            <wp:effectExtent t="0" r="0" b="0" l="0"/>
            <wp:docPr id="1" name="diagrams/erd_m0_identity.png" descr="م0: الهوية والمشترك والصلاحيات" title="م0: الهوية والمشترك والصلاحي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149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الهوية والمشترك والصلاحيات</w:t>
      </w:r>
    </w:p>
    <w:p>
      <w:pPr>
        <w:pStyle w:val="Heading3"/>
        <w:bidi/>
      </w:pPr>
      <w:bookmarkStart w:name="_sec35" w:id="35"/>
      <w:r>
        <w:rPr>
          <w:rFonts w:ascii="Arial" w:cs="Arial" w:eastAsia="Arial" w:hAnsi="Arial"/>
          <w:b/>
          <w:bCs/>
          <w:color w:val="2B5C8A"/>
          <w:sz w:val="23"/>
          <w:szCs w:val="23"/>
          <w:rtl/>
        </w:rPr>
        <w:t xml:space="preserve">التدقيق والمستندات والإعدادات (م0)</w:t>
      </w:r>
      <w:bookmarkEnd w:id="35"/>
    </w:p>
    <w:p>
      <w:pPr>
        <w:keepNext/>
        <w:bidi/>
        <w:spacing w:after="60" w:before="160"/>
        <w:jc w:val="center"/>
      </w:pPr>
      <w:r>
        <w:drawing>
          <wp:inline distT="0" distB="0" distL="0" distR="0">
            <wp:extent cx="6096000" cy="6724650"/>
            <wp:effectExtent t="0" r="0" b="0" l="0"/>
            <wp:docPr id="1" name="diagrams/erd_m0_platform.png" descr="م0: التدقيق والمستندات والإعدادات" title="م0: التدقيق والمستندات والإعداد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672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التدقيق والمستندات والإعدادات</w:t>
      </w:r>
    </w:p>
    <w:p>
      <w:pPr>
        <w:pStyle w:val="Heading3"/>
        <w:bidi/>
      </w:pPr>
      <w:bookmarkStart w:name="_sec36" w:id="36"/>
      <w:r>
        <w:rPr>
          <w:rFonts w:ascii="Arial" w:cs="Arial" w:eastAsia="Arial" w:hAnsi="Arial"/>
          <w:b/>
          <w:bCs/>
          <w:color w:val="2B5C8A"/>
          <w:sz w:val="23"/>
          <w:szCs w:val="23"/>
          <w:rtl/>
        </w:rPr>
        <w:t xml:space="preserve">الهيكل المؤسسي والأشخاص (م1)</w:t>
      </w:r>
      <w:bookmarkEnd w:id="36"/>
    </w:p>
    <w:p>
      <w:pPr>
        <w:keepNext/>
        <w:bidi/>
        <w:spacing w:after="60" w:before="160"/>
        <w:jc w:val="center"/>
      </w:pPr>
      <w:r>
        <w:drawing>
          <wp:inline distT="0" distB="0" distL="0" distR="0">
            <wp:extent cx="6096000" cy="8162925"/>
            <wp:effectExtent t="0" r="0" b="0" l="0"/>
            <wp:docPr id="1" name="diagrams/erd_m1_org.png" descr="م1: الهيكل المؤسسي والأشخاص" title="م1: الهيكل المؤسسي والأشخا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الهيكل المؤسسي والأشخاص</w:t>
      </w:r>
    </w:p>
    <w:p>
      <w:pPr>
        <w:pStyle w:val="Heading3"/>
        <w:bidi/>
      </w:pPr>
      <w:bookmarkStart w:name="_sec37" w:id="37"/>
      <w:r>
        <w:rPr>
          <w:rFonts w:ascii="Arial" w:cs="Arial" w:eastAsia="Arial" w:hAnsi="Arial"/>
          <w:b/>
          <w:bCs/>
          <w:color w:val="2B5C8A"/>
          <w:sz w:val="23"/>
          <w:szCs w:val="23"/>
          <w:rtl/>
        </w:rPr>
        <w:t xml:space="preserve">المنشآت والحسابات والمفوّضون (م2–م3)</w:t>
      </w:r>
      <w:bookmarkEnd w:id="37"/>
    </w:p>
    <w:p>
      <w:pPr>
        <w:keepNext/>
        <w:bidi/>
        <w:spacing w:after="60" w:before="160"/>
        <w:jc w:val="center"/>
      </w:pPr>
      <w:r>
        <w:drawing>
          <wp:inline distT="0" distB="0" distL="0" distR="0">
            <wp:extent cx="6096000" cy="4638675"/>
            <wp:effectExtent t="0" r="0" b="0" l="0"/>
            <wp:docPr id="1" name="diagrams/erd_m2_3_accounts.png" descr="م2–م3: المنشآت والحسابات والمفوّضون" title="م2–م3: المنشآت والحسابات والمفوّضو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638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المنشآت والحسابات والمفوّضون</w:t>
      </w:r>
    </w:p>
    <w:p>
      <w:pPr>
        <w:pStyle w:val="Heading3"/>
        <w:bidi/>
      </w:pPr>
      <w:bookmarkStart w:name="_sec38" w:id="38"/>
      <w:r>
        <w:rPr>
          <w:rFonts w:ascii="Arial" w:cs="Arial" w:eastAsia="Arial" w:hAnsi="Arial"/>
          <w:b/>
          <w:bCs/>
          <w:color w:val="2B5C8A"/>
          <w:sz w:val="23"/>
          <w:szCs w:val="23"/>
          <w:rtl/>
        </w:rPr>
        <w:t xml:space="preserve">الكتالوجات (م4)</w:t>
      </w:r>
      <w:bookmarkEnd w:id="38"/>
    </w:p>
    <w:p>
      <w:pPr>
        <w:keepNext/>
        <w:bidi/>
        <w:spacing w:after="60" w:before="160"/>
        <w:jc w:val="center"/>
      </w:pPr>
      <w:r>
        <w:drawing>
          <wp:inline distT="0" distB="0" distL="0" distR="0">
            <wp:extent cx="4581525" cy="8191500"/>
            <wp:effectExtent t="0" r="0" b="0" l="0"/>
            <wp:docPr id="1" name="diagrams/erd_m4_catalogs.png" descr="م4: الكتالوجات" title="م4: الكتالوج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815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الكتالوجات</w:t>
      </w:r>
    </w:p>
    <w:p>
      <w:pPr>
        <w:pStyle w:val="Heading3"/>
        <w:bidi/>
      </w:pPr>
      <w:bookmarkStart w:name="_sec39" w:id="39"/>
      <w:r>
        <w:rPr>
          <w:rFonts w:ascii="Arial" w:cs="Arial" w:eastAsia="Arial" w:hAnsi="Arial"/>
          <w:b/>
          <w:bCs/>
          <w:color w:val="2B5C8A"/>
          <w:sz w:val="23"/>
          <w:szCs w:val="23"/>
          <w:rtl/>
        </w:rPr>
        <w:t xml:space="preserve">التسهيلات والحدود (م5)</w:t>
      </w:r>
      <w:bookmarkEnd w:id="39"/>
    </w:p>
    <w:p>
      <w:pPr>
        <w:keepNext/>
        <w:bidi/>
        <w:spacing w:after="60" w:before="160"/>
        <w:jc w:val="center"/>
      </w:pPr>
      <w:r>
        <w:drawing>
          <wp:inline distT="0" distB="0" distL="0" distR="0">
            <wp:extent cx="6096000" cy="4791075"/>
            <wp:effectExtent t="0" r="0" b="0" l="0"/>
            <wp:docPr id="1" name="diagrams/erd_m5_facilities.png" descr="م5: التسهيلات والحدود" title="م5: التسهيلات والحدو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4791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التسهيلات والحدود</w:t>
      </w:r>
    </w:p>
    <w:p>
      <w:pPr>
        <w:pStyle w:val="Heading3"/>
        <w:bidi/>
      </w:pPr>
      <w:bookmarkStart w:name="_sec40" w:id="40"/>
      <w:r>
        <w:rPr>
          <w:rFonts w:ascii="Arial" w:cs="Arial" w:eastAsia="Arial" w:hAnsi="Arial"/>
          <w:b/>
          <w:bCs/>
          <w:color w:val="2B5C8A"/>
          <w:sz w:val="23"/>
          <w:szCs w:val="23"/>
          <w:rtl/>
        </w:rPr>
        <w:t xml:space="preserve">التسعير والتعرفة وشروط المقارنة (م5)</w:t>
      </w:r>
      <w:bookmarkEnd w:id="40"/>
    </w:p>
    <w:p>
      <w:pPr>
        <w:keepNext/>
        <w:bidi/>
        <w:spacing w:after="60" w:before="160"/>
        <w:jc w:val="center"/>
      </w:pPr>
      <w:r>
        <w:drawing>
          <wp:inline distT="0" distB="0" distL="0" distR="0">
            <wp:extent cx="6096000" cy="5181600"/>
            <wp:effectExtent t="0" r="0" b="0" l="0"/>
            <wp:docPr id="1" name="diagrams/erd_m5_pricing.png" descr="م5: التسعير والتعرفة وشروط المقارنة" title="م5: التسعير والتعرفة وشروط المقار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51816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التسعير والتعرفة وشروط المقارنة</w:t>
      </w:r>
    </w:p>
    <w:p>
      <w:pPr>
        <w:pStyle w:val="Heading3"/>
        <w:bidi/>
      </w:pPr>
      <w:bookmarkStart w:name="_sec41" w:id="41"/>
      <w:r>
        <w:rPr>
          <w:rFonts w:ascii="Arial" w:cs="Arial" w:eastAsia="Arial" w:hAnsi="Arial"/>
          <w:b/>
          <w:bCs/>
          <w:color w:val="2B5C8A"/>
          <w:sz w:val="23"/>
          <w:szCs w:val="23"/>
          <w:rtl/>
        </w:rPr>
        <w:t xml:space="preserve">الضمانات (م5)</w:t>
      </w:r>
      <w:bookmarkEnd w:id="41"/>
    </w:p>
    <w:p>
      <w:pPr>
        <w:keepNext/>
        <w:bidi/>
        <w:spacing w:after="60" w:before="160"/>
        <w:jc w:val="center"/>
      </w:pPr>
      <w:r>
        <w:drawing>
          <wp:inline distT="0" distB="0" distL="0" distR="0">
            <wp:extent cx="6096000" cy="4067175"/>
            <wp:effectExtent t="0" r="0" b="0" l="0"/>
            <wp:docPr id="1" name="diagrams/erd_m5_collateral.png" descr="م5: الضمانات" title="م5: الضمان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4067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الضمانات</w:t>
      </w:r>
    </w:p>
    <w:p>
      <w:pPr>
        <w:pStyle w:val="Heading3"/>
        <w:bidi/>
      </w:pPr>
      <w:bookmarkStart w:name="_sec42" w:id="42"/>
      <w:r>
        <w:rPr>
          <w:rFonts w:ascii="Arial" w:cs="Arial" w:eastAsia="Arial" w:hAnsi="Arial"/>
          <w:b/>
          <w:bCs/>
          <w:color w:val="2B5C8A"/>
          <w:sz w:val="23"/>
          <w:szCs w:val="23"/>
          <w:rtl/>
        </w:rPr>
        <w:t xml:space="preserve">الالتزامات والبيانات المالية (م5)</w:t>
      </w:r>
      <w:bookmarkEnd w:id="42"/>
    </w:p>
    <w:p>
      <w:pPr>
        <w:keepNext/>
        <w:bidi/>
        <w:spacing w:after="60" w:before="160"/>
        <w:jc w:val="center"/>
      </w:pPr>
      <w:r>
        <w:drawing>
          <wp:inline distT="0" distB="0" distL="0" distR="0">
            <wp:extent cx="6096000" cy="6219825"/>
            <wp:effectExtent t="0" r="0" b="0" l="0"/>
            <wp:docPr id="1" name="diagrams/erd_m5_obligations.png" descr="م5: الالتزامات والبيانات المالية" title="م5: الالتزامات والبيانات المالي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6219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الالتزامات والبيانات المالية</w:t>
      </w:r>
    </w:p>
    <w:p>
      <w:pPr>
        <w:pStyle w:val="Heading3"/>
        <w:bidi/>
      </w:pPr>
      <w:bookmarkStart w:name="_sec43" w:id="43"/>
      <w:r>
        <w:rPr>
          <w:rFonts w:ascii="Arial" w:cs="Arial" w:eastAsia="Arial" w:hAnsi="Arial"/>
          <w:b/>
          <w:bCs/>
          <w:color w:val="2B5C8A"/>
          <w:sz w:val="23"/>
          <w:szCs w:val="23"/>
          <w:rtl/>
        </w:rPr>
        <w:t xml:space="preserve">محرك الطلبات ودورات العمل (م6)</w:t>
      </w:r>
      <w:bookmarkEnd w:id="43"/>
    </w:p>
    <w:p>
      <w:pPr>
        <w:keepNext/>
        <w:bidi/>
        <w:spacing w:after="60" w:before="160"/>
        <w:jc w:val="center"/>
      </w:pPr>
      <w:r>
        <w:drawing>
          <wp:inline distT="0" distB="0" distL="0" distR="0">
            <wp:extent cx="6096000" cy="7172325"/>
            <wp:effectExtent t="0" r="0" b="0" l="0"/>
            <wp:docPr id="1" name="diagrams/erd_m6_workflow.png" descr="م6: محرك الطلبات ودورات العمل" title="م6: محرك الطلبات ودورات العم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7172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محرك الطلبات ودورات العمل</w:t>
      </w:r>
    </w:p>
    <w:p>
      <w:pPr>
        <w:pStyle w:val="Heading3"/>
        <w:bidi/>
      </w:pPr>
      <w:bookmarkStart w:name="_sec44" w:id="44"/>
      <w:r>
        <w:rPr>
          <w:rFonts w:ascii="Arial" w:cs="Arial" w:eastAsia="Arial" w:hAnsi="Arial"/>
          <w:b/>
          <w:bCs/>
          <w:color w:val="2B5C8A"/>
          <w:sz w:val="23"/>
          <w:szCs w:val="23"/>
          <w:rtl/>
        </w:rPr>
        <w:t xml:space="preserve">الإشعارات (م6)</w:t>
      </w:r>
      <w:bookmarkEnd w:id="44"/>
    </w:p>
    <w:p>
      <w:pPr>
        <w:keepNext/>
        <w:bidi/>
        <w:spacing w:after="60" w:before="160"/>
        <w:jc w:val="center"/>
      </w:pPr>
      <w:r>
        <w:drawing>
          <wp:inline distT="0" distB="0" distL="0" distR="0">
            <wp:extent cx="6096000" cy="4448175"/>
            <wp:effectExtent t="0" r="0" b="0" l="0"/>
            <wp:docPr id="1" name="diagrams/erd_m6_notifications.png" descr="م6: الإشعارات" title="م6: الإشعارا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444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الإشعارات</w:t>
      </w:r>
    </w:p>
    <w:p>
      <w:pPr>
        <w:pStyle w:val="Heading3"/>
        <w:bidi/>
      </w:pPr>
      <w:bookmarkStart w:name="_sec45" w:id="45"/>
      <w:r>
        <w:rPr>
          <w:rFonts w:ascii="Arial" w:cs="Arial" w:eastAsia="Arial" w:hAnsi="Arial"/>
          <w:b/>
          <w:bCs/>
          <w:color w:val="2B5C8A"/>
          <w:sz w:val="23"/>
          <w:szCs w:val="23"/>
          <w:rtl/>
        </w:rPr>
        <w:t xml:space="preserve">الاعتمادات المستندية والبروفورما (م7/م8)</w:t>
      </w:r>
      <w:bookmarkEnd w:id="45"/>
    </w:p>
    <w:p>
      <w:pPr>
        <w:keepNext/>
        <w:bidi/>
        <w:spacing w:after="60" w:before="160"/>
        <w:jc w:val="center"/>
      </w:pPr>
      <w:r>
        <w:drawing>
          <wp:inline distT="0" distB="0" distL="0" distR="0">
            <wp:extent cx="6096000" cy="6781800"/>
            <wp:effectExtent t="0" r="0" b="0" l="0"/>
            <wp:docPr id="1" name="diagrams/erd_m7_8_lc.png" descr="م7/م8: الاعتمادات المستندية والبروفورما" title="م7/م8: الاعتمادات المستندية والبروفورم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781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الاعتمادات المستندية والبروفورما</w:t>
      </w:r>
    </w:p>
    <w:p>
      <w:pPr>
        <w:pStyle w:val="Heading1"/>
        <w:bidi/>
      </w:pPr>
      <w:bookmarkStart w:name="_sec46" w:id="46"/>
      <w:r>
        <w:rPr>
          <w:rFonts w:ascii="Arial" w:cs="Arial" w:eastAsia="Arial" w:hAnsi="Arial"/>
          <w:b/>
          <w:bCs/>
          <w:color w:val="1F3A5F"/>
          <w:sz w:val="32"/>
          <w:szCs w:val="32"/>
          <w:rtl/>
        </w:rPr>
        <w:t xml:space="preserve">11. أنماط التصميم للمجالات الرئيسية</w:t>
      </w:r>
      <w:bookmarkEnd w:id="4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47" w:id="47"/>
      <w:r>
        <w:rPr>
          <w:rFonts w:ascii="Arial" w:cs="Arial" w:eastAsia="Arial" w:hAnsi="Arial"/>
          <w:b/>
          <w:bCs/>
          <w:color w:val="2B5C8A"/>
          <w:sz w:val="26"/>
          <w:szCs w:val="26"/>
          <w:rtl/>
        </w:rPr>
        <w:t xml:space="preserve">11.1 إقفال دورة العمل بيد إدارة الخزينة (C-7)</w:t>
      </w:r>
      <w:bookmarkEnd w:id="47"/>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48" w:id="48"/>
      <w:r>
        <w:rPr>
          <w:rFonts w:ascii="Arial" w:cs="Arial" w:eastAsia="Arial" w:hAnsi="Arial"/>
          <w:b/>
          <w:bCs/>
          <w:color w:val="2B5C8A"/>
          <w:sz w:val="26"/>
          <w:szCs w:val="26"/>
          <w:rtl/>
        </w:rPr>
        <w:t xml:space="preserve">11.2 الملكية المتعددة والمراجع المركّبة (DR-04 · DR-06 · DR-09 · DR-10)</w:t>
      </w:r>
      <w:bookmarkEnd w:id="4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49" w:id="49"/>
      <w:r>
        <w:rPr>
          <w:rFonts w:ascii="Arial" w:cs="Arial" w:eastAsia="Arial" w:hAnsi="Arial"/>
          <w:b/>
          <w:bCs/>
          <w:color w:val="2B5C8A"/>
          <w:sz w:val="26"/>
          <w:szCs w:val="26"/>
          <w:rtl/>
        </w:rPr>
        <w:t xml:space="preserve">11.3 الكتالوجات المملوكة للمشترك (DR-03 · DR-05 · DR-07)</w:t>
      </w:r>
      <w:bookmarkEnd w:id="49"/>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50" w:id="50"/>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5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51" w:id="51"/>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5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52" w:id="52"/>
      <w:r>
        <w:rPr>
          <w:rFonts w:ascii="Arial" w:cs="Arial" w:eastAsia="Arial" w:hAnsi="Arial"/>
          <w:b/>
          <w:bCs/>
          <w:color w:val="1F3A5F"/>
          <w:sz w:val="32"/>
          <w:szCs w:val="32"/>
          <w:rtl/>
        </w:rPr>
        <w:t xml:space="preserve">12. النشر وإدارة التغيير</w:t>
      </w:r>
      <w:bookmarkEnd w:id="52"/>
    </w:p>
    <w:p>
      <w:pPr>
        <w:pStyle w:val="Heading2"/>
        <w:bidi/>
      </w:pPr>
      <w:bookmarkStart w:name="_sec53" w:id="53"/>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53"/>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w:t>
      </w:r>
      <w:r>
        <w:rPr>
          <w:rFonts w:ascii="Arial" w:cs="Arial" w:eastAsia="Arial" w:hAnsi="Arial"/>
          <w:b/>
          <w:bCs/>
          <w:sz w:val="21"/>
          <w:szCs w:val="21"/>
          <w:rtl/>
        </w:rPr>
        <w:t xml:space="preserve">لا يوجد بعدُ مسار ترحيل بين الإصدارات</w:t>
      </w:r>
      <w:r>
        <w:rPr>
          <w:rFonts w:ascii="Arial" w:cs="Arial" w:eastAsia="Arial" w:hAnsi="Arial"/>
          <w:b w:val="false"/>
          <w:bCs w:val="false"/>
          <w:sz w:val="21"/>
          <w:szCs w:val="21"/>
          <w:rtl/>
        </w:rPr>
        <w:t xml:space="preserve"> (O-2).</w:t>
      </w:r>
    </w:p>
    <w:p>
      <w:pPr>
        <w:pStyle w:val="Heading2"/>
        <w:bidi/>
      </w:pPr>
      <w:bookmarkStart w:name="_sec54" w:id="54"/>
      <w:r>
        <w:rPr>
          <w:rFonts w:ascii="Arial" w:cs="Arial" w:eastAsia="Arial" w:hAnsi="Arial"/>
          <w:b/>
          <w:bCs/>
          <w:color w:val="2B5C8A"/>
          <w:sz w:val="26"/>
          <w:szCs w:val="26"/>
          <w:rtl/>
        </w:rPr>
        <w:t xml:space="preserve">12.2 تغيير النموذج</w:t>
      </w:r>
      <w:bookmarkEnd w:id="54"/>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55" w:id="55"/>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55"/>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56" w:id="56"/>
      <w:r>
        <w:rPr>
          <w:rFonts w:ascii="Arial" w:cs="Arial" w:eastAsia="Arial" w:hAnsi="Arial"/>
          <w:b/>
          <w:bCs/>
          <w:color w:val="2B5C8A"/>
          <w:sz w:val="26"/>
          <w:szCs w:val="26"/>
          <w:rtl/>
        </w:rPr>
        <w:t xml:space="preserve">12.4 الأداء والحمل</w:t>
      </w:r>
      <w:bookmarkEnd w:id="56"/>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57" w:id="57"/>
      <w:r>
        <w:rPr>
          <w:rFonts w:ascii="Arial" w:cs="Arial" w:eastAsia="Arial" w:hAnsi="Arial"/>
          <w:b/>
          <w:bCs/>
          <w:color w:val="1F3A5F"/>
          <w:sz w:val="32"/>
          <w:szCs w:val="32"/>
          <w:rtl/>
        </w:rPr>
        <w:t xml:space="preserve">13. البذور وتهيئة المشترك</w:t>
      </w:r>
      <w:bookmarkEnd w:id="5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(142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58" w:id="58"/>
      <w:r>
        <w:rPr>
          <w:rFonts w:ascii="Arial" w:cs="Arial" w:eastAsia="Arial" w:hAnsi="Arial"/>
          <w:b/>
          <w:bCs/>
          <w:color w:val="1F3A5F"/>
          <w:sz w:val="32"/>
          <w:szCs w:val="32"/>
          <w:rtl/>
        </w:rPr>
        <w:t xml:space="preserve">14. أدلة التحقق وحدودها (بصراحة)</w:t>
      </w:r>
      <w:bookmarkEnd w:id="5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249 جدولًا / 4,128 عمودًا؛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249 جدولًا، 334 منحة مولّدة، 138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59" w:id="59"/>
      <w:r>
        <w:rPr>
          <w:rFonts w:ascii="Arial" w:cs="Arial" w:eastAsia="Arial" w:hAnsi="Arial"/>
          <w:b/>
          <w:bCs/>
          <w:color w:val="1F3A5F"/>
          <w:sz w:val="32"/>
          <w:szCs w:val="32"/>
          <w:rtl/>
        </w:rPr>
        <w:t xml:space="preserve">15. القرارات المتخذة (تُعتمد ما لم تعترض)</w:t>
      </w:r>
      <w:bookmarkEnd w:id="5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60" w:id="60"/>
      <w:r>
        <w:rPr>
          <w:rFonts w:ascii="Arial" w:cs="Arial" w:eastAsia="Arial" w:hAnsi="Arial"/>
          <w:b/>
          <w:bCs/>
          <w:color w:val="1F3A5F"/>
          <w:sz w:val="32"/>
          <w:szCs w:val="32"/>
          <w:rtl/>
        </w:rPr>
        <w:t xml:space="preserve">16. حدود معروفة ونقاط مفتوحة</w:t>
      </w:r>
      <w:bookmarkEnd w:id="6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ترحيل (DbUp أو Flyway) عند أول نشر فعلي على بيانات حقيقية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تخزين غير قابل للتعديل أو تجزئة منشورة دوريًا؛ قرار تشغيلي</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ويبقى مؤجلًا مرساة البصمة الخارجية (مع O-13) وفحص المفاتيح المتقاعدة (DR-20)</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61" w:id="61"/>
      <w:r>
        <w:rPr>
          <w:rFonts w:ascii="Arial" w:cs="Arial" w:eastAsia="Arial" w:hAnsi="Arial"/>
          <w:b/>
          <w:bCs/>
          <w:color w:val="1F3A5F"/>
          <w:sz w:val="32"/>
          <w:szCs w:val="32"/>
          <w:rtl/>
        </w:rPr>
        <w:t xml:space="preserve">17. الخطوة التالية</w:t>
      </w:r>
      <w:bookmarkEnd w:id="61"/>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BankFas — وثيقة تصميم قاعدة البيانات · v0.3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4ad4f4f04db814c06fe09eb83de4ee1a8a575f35.png"/><Relationship Id="rId13" Type="http://schemas.openxmlformats.org/officeDocument/2006/relationships/image" Target="media/be83d5234ab436c775cf8073134d6ec6de67b4dd.png"/><Relationship Id="rId14" Type="http://schemas.openxmlformats.org/officeDocument/2006/relationships/image" Target="media/ccd74172f3ed1cd5cb100816c861ebc827158a09.png"/><Relationship Id="rId15" Type="http://schemas.openxmlformats.org/officeDocument/2006/relationships/image" Target="media/7705d20367e1f51f25d506de34fff10fa4d825b8.png"/><Relationship Id="rId16" Type="http://schemas.openxmlformats.org/officeDocument/2006/relationships/image" Target="media/453ceb65db8dbdc4611e880fb6528b3b89ed7a7f.png"/><Relationship Id="rId17" Type="http://schemas.openxmlformats.org/officeDocument/2006/relationships/image" Target="media/c4bc73c93b3f1feffb83dd8ef904e0b7ed38b8b5.png"/><Relationship Id="rId18" Type="http://schemas.openxmlformats.org/officeDocument/2006/relationships/image" Target="media/7cd68bdf1359be093e117453c4a4db2130cd0dde.png"/><Relationship Id="rId19" Type="http://schemas.openxmlformats.org/officeDocument/2006/relationships/image" Target="media/8ac7062f750d3d62e7b0b1b14dc6978ff8d85341.png"/><Relationship Id="rId20" Type="http://schemas.openxmlformats.org/officeDocument/2006/relationships/image" Target="media/60c57410e6b8d60c8d80de1c5586d72eda4f3b5e.png"/><Relationship Id="rId21" Type="http://schemas.openxmlformats.org/officeDocument/2006/relationships/image" Target="media/1ce3ec9db093e8fb89c08e1ada07c16feb954b86.png"/><Relationship Id="rId22" Type="http://schemas.openxmlformats.org/officeDocument/2006/relationships/image" Target="media/5302c6bfb0a2969ad09067f0426cbc703ecca30e.png"/><Relationship Id="rId23" Type="http://schemas.openxmlformats.org/officeDocument/2006/relationships/image" Target="media/47ddc3bbb6df68b60ebd689eddfdc422747f73f4.png"/><Relationship Id="rId24" Type="http://schemas.openxmlformats.org/officeDocument/2006/relationships/image" Target="media/7008bc244f86ea28562c3e07ecd466b89506f6b3.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وثيقة تصميم قاعدة البيانات — BankFas</dc:title>
  <dc:creator>Claude</dc:creator>
  <dc:description>BankFas database design document</dc:description>
  <cp:lastModifiedBy>Un-named</cp:lastModifiedBy>
  <cp:revision>1</cp:revision>
  <dcterms:created xsi:type="dcterms:W3CDTF">2026-10-20T15:39:23.330Z</dcterms:created>
  <dcterms:modified xsi:type="dcterms:W3CDTF">2026-10-20T15:39:23.331Z</dcterms:modified>
</cp:coreProperties>
</file>

<file path=docProps/custom.xml><?xml version="1.0" encoding="utf-8"?>
<Properties xmlns="http://schemas.openxmlformats.org/officeDocument/2006/custom-properties" xmlns:vt="http://schemas.openxmlformats.org/officeDocument/2006/docPropsVTypes"/>
</file>