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pStyle w:val="Title"/>
        <w:bidi/>
      </w:pPr>
      <w:r>
        <w:rPr>
          <w:rFonts w:ascii="Arial" w:cs="Arial" w:eastAsia="Arial" w:hAnsi="Arial"/>
          <w:b/>
          <w:bCs/>
          <w:color w:val="1F3A5F"/>
          <w:sz w:val="48"/>
          <w:szCs w:val="48"/>
          <w:rtl/>
        </w:rPr>
        <w:t xml:space="preserve">DOC-B02 — سجل سيناريوهات القبول للشريحتين S0 وS1</w:t>
      </w:r>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1160"/>
        <w:gridCol w:w="8704"/>
      </w:tblGrid>
      <w:tr>
        <w:trPr>
          <w:cantSplit/>
          <w:tblHeader/>
        </w:trPr>
        <w:tc>
          <w:tcPr>
            <w:tcW w:type="dxa" w:w="1160"/>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البند</w:t>
            </w:r>
          </w:p>
        </w:tc>
        <w:tc>
          <w:tcPr>
            <w:tcW w:type="dxa" w:w="8704"/>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القيمة</w:t>
            </w:r>
          </w:p>
        </w:tc>
      </w:tr>
      <w:tr>
        <w:trPr>
          <w:cantSplit/>
        </w:trPr>
        <w:tc>
          <w:tcPr>
            <w:tcW w:type="dxa" w:w="1160"/>
            <w:tcBorders>
              <w:top w:val="single" w:color="BFC9D6" w:sz="4"/>
              <w:left w:val="single" w:color="BFC9D6" w:sz="4"/>
              <w:bottom w:val="single" w:color="BFC9D6" w:sz="4"/>
              <w:right w:val="single" w:color="BFC9D6" w:sz="4"/>
            </w:tcBorders>
            <w:shd w:fill="E8EEF6"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المعرّف</w:t>
            </w:r>
          </w:p>
        </w:tc>
        <w:tc>
          <w:tcPr>
            <w:tcW w:type="dxa" w:w="870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DOC-B02 (docs/30-readiness-documents.md)</w:t>
            </w:r>
          </w:p>
        </w:tc>
      </w:tr>
      <w:tr>
        <w:trPr>
          <w:cantSplit/>
        </w:trPr>
        <w:tc>
          <w:tcPr>
            <w:tcW w:type="dxa" w:w="1160"/>
            <w:tcBorders>
              <w:top w:val="single" w:color="BFC9D6" w:sz="4"/>
              <w:left w:val="single" w:color="BFC9D6" w:sz="4"/>
              <w:bottom w:val="single" w:color="BFC9D6" w:sz="4"/>
              <w:right w:val="single" w:color="BFC9D6" w:sz="4"/>
            </w:tcBorders>
            <w:shd w:fill="E8EEF6"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الإصدار</w:t>
            </w:r>
          </w:p>
        </w:tc>
        <w:tc>
          <w:tcPr>
            <w:tcW w:type="dxa" w:w="870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0.1 — مسودة للمراجعة — 2026-10-12</w:t>
            </w:r>
          </w:p>
        </w:tc>
      </w:tr>
      <w:tr>
        <w:trPr>
          <w:cantSplit/>
        </w:trPr>
        <w:tc>
          <w:tcPr>
            <w:tcW w:type="dxa" w:w="1160"/>
            <w:tcBorders>
              <w:top w:val="single" w:color="BFC9D6" w:sz="4"/>
              <w:left w:val="single" w:color="BFC9D6" w:sz="4"/>
              <w:bottom w:val="single" w:color="BFC9D6" w:sz="4"/>
              <w:right w:val="single" w:color="BFC9D6" w:sz="4"/>
            </w:tcBorders>
            <w:shd w:fill="E8EEF6"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المالك المقترح</w:t>
            </w:r>
          </w:p>
        </w:tc>
        <w:tc>
          <w:tcPr>
            <w:tcW w:type="dxa" w:w="870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محلل الأعمال (BA lead) مع قائد ضمان الجودة</w:t>
            </w:r>
          </w:p>
        </w:tc>
      </w:tr>
      <w:tr>
        <w:trPr>
          <w:cantSplit/>
        </w:trPr>
        <w:tc>
          <w:tcPr>
            <w:tcW w:type="dxa" w:w="1160"/>
            <w:tcBorders>
              <w:top w:val="single" w:color="BFC9D6" w:sz="4"/>
              <w:left w:val="single" w:color="BFC9D6" w:sz="4"/>
              <w:bottom w:val="single" w:color="BFC9D6" w:sz="4"/>
              <w:right w:val="single" w:color="BFC9D6" w:sz="4"/>
            </w:tcBorders>
            <w:shd w:fill="E8EEF6"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الأولوية</w:t>
            </w:r>
          </w:p>
        </w:tc>
        <w:tc>
          <w:tcPr>
            <w:tcW w:type="dxa" w:w="870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P0 قبل S0 لسجل S0 وS1، والباقي قبل S2</w:t>
            </w:r>
          </w:p>
        </w:tc>
      </w:tr>
      <w:tr>
        <w:trPr>
          <w:cantSplit/>
        </w:trPr>
        <w:tc>
          <w:tcPr>
            <w:tcW w:type="dxa" w:w="1160"/>
            <w:tcBorders>
              <w:top w:val="single" w:color="BFC9D6" w:sz="4"/>
              <w:left w:val="single" w:color="BFC9D6" w:sz="4"/>
              <w:bottom w:val="single" w:color="BFC9D6" w:sz="4"/>
              <w:right w:val="single" w:color="BFC9D6" w:sz="4"/>
            </w:tcBorders>
            <w:shd w:fill="E8EEF6"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يغطي</w:t>
            </w:r>
          </w:p>
        </w:tc>
        <w:tc>
          <w:tcPr>
            <w:tcW w:type="dxa" w:w="870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كل FR في S0 وS1 من PLT وORG وPTY وINS وACC وCAT وNTF (146 متطلبًا)، وخروج S0 وS1</w:t>
            </w:r>
          </w:p>
        </w:tc>
      </w:tr>
      <w:tr>
        <w:trPr>
          <w:cantSplit/>
        </w:trPr>
        <w:tc>
          <w:tcPr>
            <w:tcW w:type="dxa" w:w="1160"/>
            <w:tcBorders>
              <w:top w:val="single" w:color="BFC9D6" w:sz="4"/>
              <w:left w:val="single" w:color="BFC9D6" w:sz="4"/>
              <w:bottom w:val="single" w:color="BFC9D6" w:sz="4"/>
              <w:right w:val="single" w:color="BFC9D6" w:sz="4"/>
            </w:tcBorders>
            <w:shd w:fill="E8EEF6"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يعتمد على</w:t>
            </w:r>
          </w:p>
        </w:tc>
        <w:tc>
          <w:tcPr>
            <w:tcW w:type="dxa" w:w="870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DOC-B01، DOC-B03، DOC-B04، DOC-B05، DOC-B07، DOC-B08، DOC-F04، DOC-F05</w:t>
            </w:r>
          </w:p>
        </w:tc>
      </w:tr>
      <w:tr>
        <w:trPr>
          <w:cantSplit/>
        </w:trPr>
        <w:tc>
          <w:tcPr>
            <w:tcW w:type="dxa" w:w="1160"/>
            <w:tcBorders>
              <w:top w:val="single" w:color="BFC9D6" w:sz="4"/>
              <w:left w:val="single" w:color="BFC9D6" w:sz="4"/>
              <w:bottom w:val="single" w:color="BFC9D6" w:sz="4"/>
              <w:right w:val="single" w:color="BFC9D6" w:sz="4"/>
            </w:tcBorders>
            <w:shd w:fill="E8EEF6"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المصادر</w:t>
            </w:r>
          </w:p>
        </w:tc>
        <w:tc>
          <w:tcPr>
            <w:tcW w:type="dxa" w:w="870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docs/10-detailed-analysis/00-overview-and-cross-cutting.md، docs/10-detailed-analysis/10-m0-m1-platform-organization.md، docs/10-detailed-analysis/11-m2-m4-institutions-accounts-catalogs.md، docs/10-detailed-analysis/13-m6-workflow-engine-notifications.md، docs/10-detailed-analysis/91-requirements-index.md، db/tests/tenant_isolation_tests.sql، docs/20-database-design.md</w:t>
            </w:r>
          </w:p>
        </w:tc>
      </w:tr>
    </w:tbl>
    <w:p>
      <w:pPr>
        <w:bidi/>
        <w:spacing w:after="120" w:before="0"/>
      </w:pPr>
    </w:p>
    <w:p>
      <w:pPr>
        <w:pBdr>
          <w:bottom w:val="single" w:color="1F3A5F" w:sz="8" w:space="4"/>
        </w:pBdr>
        <w:bidi/>
        <w:spacing w:after="100" w:before="280"/>
      </w:pPr>
      <w:r>
        <w:rPr>
          <w:rFonts w:ascii="Arial" w:cs="Arial" w:eastAsia="Arial" w:hAnsi="Arial"/>
          <w:b/>
          <w:bCs/>
          <w:color w:val="1F3A5F"/>
          <w:sz w:val="32"/>
          <w:szCs w:val="32"/>
          <w:rtl/>
        </w:rPr>
        <w:t xml:space="preserve">المحتويات</w:t>
      </w:r>
    </w:p>
    <w:p>
      <w:pPr>
        <w:bidi/>
        <w:spacing w:after="50" w:before="0"/>
        <w:ind w:left="0"/>
      </w:pPr>
      <w:hyperlink w:history="1" w:anchor="_sec1">
        <w:r>
          <w:rPr>
            <w:rFonts w:ascii="Arial" w:cs="Arial" w:eastAsia="Arial" w:hAnsi="Arial"/>
            <w:b/>
            <w:bCs/>
            <w:color w:val="1F3A5F"/>
            <w:sz w:val="20"/>
            <w:szCs w:val="20"/>
            <w:rtl/>
          </w:rPr>
          <w:t xml:space="preserve">1. الغرض والنطاق</w:t>
        </w:r>
      </w:hyperlink>
    </w:p>
    <w:p>
      <w:pPr>
        <w:bidi/>
        <w:spacing w:after="50" w:before="0"/>
        <w:ind w:left="0"/>
      </w:pPr>
      <w:hyperlink w:history="1" w:anchor="_sec2">
        <w:r>
          <w:rPr>
            <w:rFonts w:ascii="Arial" w:cs="Arial" w:eastAsia="Arial" w:hAnsi="Arial"/>
            <w:b/>
            <w:bCs/>
            <w:color w:val="1F3A5F"/>
            <w:sz w:val="20"/>
            <w:szCs w:val="20"/>
            <w:rtl/>
          </w:rPr>
          <w:t xml:space="preserve">2. السجل</w:t>
        </w:r>
      </w:hyperlink>
    </w:p>
    <w:p>
      <w:pPr>
        <w:bidi/>
        <w:spacing w:after="50" w:before="0"/>
        <w:ind w:left="0"/>
      </w:pPr>
      <w:hyperlink w:history="1" w:anchor="_sec5">
        <w:r>
          <w:rPr>
            <w:rFonts w:ascii="Arial" w:cs="Arial" w:eastAsia="Arial" w:hAnsi="Arial"/>
            <w:b/>
            <w:bCs/>
            <w:color w:val="1F3A5F"/>
            <w:sz w:val="20"/>
            <w:szCs w:val="20"/>
            <w:rtl/>
          </w:rPr>
          <w:t xml:space="preserve">3. نصوص السيناريوهات الجديدة</w:t>
        </w:r>
      </w:hyperlink>
    </w:p>
    <w:p>
      <w:pPr>
        <w:bidi/>
        <w:spacing w:after="50" w:before="0"/>
        <w:ind w:left="0"/>
      </w:pPr>
      <w:hyperlink w:history="1" w:anchor="_sec13">
        <w:r>
          <w:rPr>
            <w:rFonts w:ascii="Arial" w:cs="Arial" w:eastAsia="Arial" w:hAnsi="Arial"/>
            <w:b/>
            <w:bCs/>
            <w:color w:val="1F3A5F"/>
            <w:sz w:val="20"/>
            <w:szCs w:val="20"/>
            <w:rtl/>
          </w:rPr>
          <w:t xml:space="preserve">4. معايير الخروج المرتبطة</w:t>
        </w:r>
      </w:hyperlink>
    </w:p>
    <w:p>
      <w:pPr>
        <w:bidi/>
        <w:spacing w:after="50" w:before="0"/>
        <w:ind w:left="0"/>
      </w:pPr>
      <w:hyperlink w:history="1" w:anchor="_sec14">
        <w:r>
          <w:rPr>
            <w:rFonts w:ascii="Arial" w:cs="Arial" w:eastAsia="Arial" w:hAnsi="Arial"/>
            <w:b/>
            <w:bCs/>
            <w:color w:val="1F3A5F"/>
            <w:sz w:val="20"/>
            <w:szCs w:val="20"/>
            <w:rtl/>
          </w:rPr>
          <w:t xml:space="preserve">5. جدول التغطية: المتطلب إلى السيناريو</w:t>
        </w:r>
      </w:hyperlink>
    </w:p>
    <w:p>
      <w:pPr>
        <w:bidi/>
        <w:spacing w:after="50" w:before="0"/>
        <w:ind w:left="0"/>
      </w:pPr>
      <w:hyperlink w:history="1" w:anchor="_sec22">
        <w:r>
          <w:rPr>
            <w:rFonts w:ascii="Arial" w:cs="Arial" w:eastAsia="Arial" w:hAnsi="Arial"/>
            <w:b/>
            <w:bCs/>
            <w:color w:val="1F3A5F"/>
            <w:sz w:val="20"/>
            <w:szCs w:val="20"/>
            <w:rtl/>
          </w:rPr>
          <w:t xml:space="preserve">6. القرارات المطلوبة</w:t>
        </w:r>
      </w:hyperlink>
    </w:p>
    <w:p>
      <w:pPr>
        <w:bidi/>
        <w:spacing w:after="50" w:before="0"/>
        <w:ind w:left="0"/>
      </w:pPr>
      <w:hyperlink w:history="1" w:anchor="_sec23">
        <w:r>
          <w:rPr>
            <w:rFonts w:ascii="Arial" w:cs="Arial" w:eastAsia="Arial" w:hAnsi="Arial"/>
            <w:b/>
            <w:bCs/>
            <w:color w:val="1F3A5F"/>
            <w:sz w:val="20"/>
            <w:szCs w:val="20"/>
            <w:rtl/>
          </w:rPr>
          <w:t xml:space="preserve">7. تعارضات وفجوات في المصادر</w:t>
        </w:r>
      </w:hyperlink>
    </w:p>
    <w:p>
      <w:pPr>
        <w:bidi/>
        <w:spacing w:after="50" w:before="0"/>
        <w:ind w:left="0"/>
      </w:pPr>
      <w:hyperlink w:history="1" w:anchor="_sec24">
        <w:r>
          <w:rPr>
            <w:rFonts w:ascii="Arial" w:cs="Arial" w:eastAsia="Arial" w:hAnsi="Arial"/>
            <w:b/>
            <w:bCs/>
            <w:color w:val="1F3A5F"/>
            <w:sz w:val="20"/>
            <w:szCs w:val="20"/>
            <w:rtl/>
          </w:rPr>
          <w:t xml:space="preserve">8. التتبع</w:t>
        </w:r>
      </w:hyperlink>
    </w:p>
    <w:p>
      <w:r>
        <w:br w:type="page"/>
      </w:r>
    </w:p>
    <w:p>
      <w:pPr>
        <w:pBdr>
          <w:top w:val="single" w:color="E8C766" w:sz="6" w:space="6"/>
          <w:left w:val="single" w:color="E8C766" w:sz="6" w:space="6"/>
          <w:bottom w:val="single" w:color="E8C766" w:sz="6" w:space="6"/>
          <w:right w:val="single" w:color="E8C766" w:sz="6" w:space="6"/>
        </w:pBdr>
        <w:shd w:fill="FFF8E1" w:color="auto" w:val="clear"/>
        <w:bidi/>
        <w:spacing w:after="160" w:before="60" w:line="300"/>
        <w:ind w:left="140" w:right="140"/>
      </w:pPr>
      <w:r>
        <w:rPr>
          <w:rFonts w:ascii="Arial" w:cs="Arial" w:eastAsia="Arial" w:hAnsi="Arial"/>
          <w:b/>
          <w:bCs/>
          <w:sz w:val="20"/>
          <w:szCs w:val="20"/>
          <w:rtl/>
        </w:rPr>
        <w:t xml:space="preserve">تحديث التنفيذ (2026-10-12):</w:t>
      </w:r>
      <w:r>
        <w:rPr>
          <w:rFonts w:ascii="Arial" w:cs="Arial" w:eastAsia="Arial" w:hAnsi="Arial"/>
          <w:b w:val="false"/>
          <w:bCs w:val="false"/>
          <w:sz w:val="20"/>
          <w:szCs w:val="20"/>
          <w:rtl/>
        </w:rPr>
        <w:t xml:space="preserve"> AC-PLT-3 مؤتمت في القاعدة (docs/adr/0005-document-numbering-and-reference-seeds.md، db/static/039_numbering.sql) ويمر في CI: الحالة N2 في db/tests/numbering_tests.sql تعطي </w:t>
      </w:r>
      <w:r>
        <w:rPr>
          <w:rFonts w:ascii="Courier New" w:cs="Courier New" w:eastAsia="Courier New" w:hAnsi="Courier New"/>
          <w:b w:val="false"/>
          <w:bCs w:val="false"/>
          <w:color w:val="1F2937"/>
          <w:sz w:val="18"/>
          <w:szCs w:val="18"/>
          <w:shd w:fill="F1F3F5" w:color="auto" w:val="clear"/>
          <w:rtl/>
        </w:rPr>
        <w:t xml:space="preserve">‎003-XX01-26‎</w:t>
      </w:r>
      <w:r>
        <w:rPr>
          <w:rFonts w:ascii="Arial" w:cs="Arial" w:eastAsia="Arial" w:hAnsi="Arial"/>
          <w:b w:val="false"/>
          <w:bCs w:val="false"/>
          <w:sz w:val="20"/>
          <w:szCs w:val="20"/>
          <w:rtl/>
        </w:rPr>
        <w:t xml:space="preserve"> ثم </w:t>
      </w:r>
      <w:r>
        <w:rPr>
          <w:rFonts w:ascii="Courier New" w:cs="Courier New" w:eastAsia="Courier New" w:hAnsi="Courier New"/>
          <w:b w:val="false"/>
          <w:bCs w:val="false"/>
          <w:color w:val="1F2937"/>
          <w:sz w:val="18"/>
          <w:szCs w:val="18"/>
          <w:shd w:fill="F1F3F5" w:color="auto" w:val="clear"/>
          <w:rtl/>
        </w:rPr>
        <w:t xml:space="preserve">‎004-XX01-26‎</w:t>
      </w:r>
      <w:r>
        <w:rPr>
          <w:rFonts w:ascii="Arial" w:cs="Arial" w:eastAsia="Arial" w:hAnsi="Arial"/>
          <w:b w:val="false"/>
          <w:bCs w:val="false"/>
          <w:sz w:val="20"/>
          <w:szCs w:val="20"/>
          <w:rtl/>
        </w:rPr>
        <w:t xml:space="preserve"> بعد رقمين، والرقم الملغى يبقى «ملغى» بسببه ولا يُعاد فيأتي بعده </w:t>
      </w:r>
      <w:r>
        <w:rPr>
          <w:rFonts w:ascii="Courier New" w:cs="Courier New" w:eastAsia="Courier New" w:hAnsi="Courier New"/>
          <w:b w:val="false"/>
          <w:bCs w:val="false"/>
          <w:color w:val="1F2937"/>
          <w:sz w:val="18"/>
          <w:szCs w:val="18"/>
          <w:shd w:fill="F1F3F5" w:color="auto" w:val="clear"/>
          <w:rtl/>
        </w:rPr>
        <w:t xml:space="preserve">‎005-XX01-26‎</w:t>
      </w:r>
      <w:r>
        <w:rPr>
          <w:rFonts w:ascii="Arial" w:cs="Arial" w:eastAsia="Arial" w:hAnsi="Arial"/>
          <w:b w:val="false"/>
          <w:bCs w:val="false"/>
          <w:sz w:val="20"/>
          <w:szCs w:val="20"/>
          <w:rtl/>
        </w:rPr>
        <w:t xml:space="preserve">، وأول رقم في 2027 هو </w:t>
      </w:r>
      <w:r>
        <w:rPr>
          <w:rFonts w:ascii="Courier New" w:cs="Courier New" w:eastAsia="Courier New" w:hAnsi="Courier New"/>
          <w:b w:val="false"/>
          <w:bCs w:val="false"/>
          <w:color w:val="1F2937"/>
          <w:sz w:val="18"/>
          <w:szCs w:val="18"/>
          <w:shd w:fill="F1F3F5" w:color="auto" w:val="clear"/>
          <w:rtl/>
        </w:rPr>
        <w:t xml:space="preserve">‎001-XX01-27‎</w:t>
      </w:r>
      <w:r>
        <w:rPr>
          <w:rFonts w:ascii="Arial" w:cs="Arial" w:eastAsia="Arial" w:hAnsi="Arial"/>
          <w:b w:val="false"/>
          <w:bCs w:val="false"/>
          <w:sz w:val="20"/>
          <w:szCs w:val="20"/>
          <w:rtl/>
        </w:rPr>
        <w:t xml:space="preserve">؛ وفحص التزامن tools/ci/numbering_concurrency.sh يشغّل ستة اتصالات معًا ويتراجع عن ربع المعاملات، فتأتي الأرقام الملتزمة من 1 إلى 114 بلا تكرار ولا فجوة. قرار DQ-B02-4 (بلا فجوات للطلبات والبروفورما) مفروض في القاعدة: تعريفا </w:t>
      </w:r>
      <w:r>
        <w:rPr>
          <w:rFonts w:ascii="Courier New" w:cs="Courier New" w:eastAsia="Courier New" w:hAnsi="Courier New"/>
          <w:b w:val="false"/>
          <w:bCs w:val="false"/>
          <w:color w:val="1F2937"/>
          <w:sz w:val="18"/>
          <w:szCs w:val="18"/>
          <w:shd w:fill="F1F3F5" w:color="auto" w:val="clear"/>
          <w:rtl/>
        </w:rPr>
        <w:t xml:space="preserve">‎req:&lt;TypeCode&gt;‎</w:t>
      </w:r>
      <w:r>
        <w:rPr>
          <w:rFonts w:ascii="Arial" w:cs="Arial" w:eastAsia="Arial" w:hAnsi="Arial"/>
          <w:b w:val="false"/>
          <w:bCs w:val="false"/>
          <w:sz w:val="20"/>
          <w:szCs w:val="20"/>
          <w:rtl/>
        </w:rPr>
        <w:t xml:space="preserve"> و</w:t>
      </w:r>
      <w:r>
        <w:rPr>
          <w:rFonts w:ascii="Courier New" w:cs="Courier New" w:eastAsia="Courier New" w:hAnsi="Courier New"/>
          <w:b w:val="false"/>
          <w:bCs w:val="false"/>
          <w:color w:val="1F2937"/>
          <w:sz w:val="18"/>
          <w:szCs w:val="18"/>
          <w:shd w:fill="F1F3F5" w:color="auto" w:val="clear"/>
          <w:rtl/>
        </w:rPr>
        <w:t xml:space="preserve">‎PROFORMA‎</w:t>
      </w:r>
      <w:r>
        <w:rPr>
          <w:rFonts w:ascii="Arial" w:cs="Arial" w:eastAsia="Arial" w:hAnsi="Arial"/>
          <w:b w:val="false"/>
          <w:bCs w:val="false"/>
          <w:sz w:val="20"/>
          <w:szCs w:val="20"/>
          <w:rtl/>
        </w:rPr>
        <w:t xml:space="preserve"> لا يقبلان غير GAP_FREE. ويبقى سيناريو API نفسه على التطبيق.</w:t>
      </w:r>
    </w:p>
    <w:p>
      <w:pPr>
        <w:pStyle w:val="Heading1"/>
        <w:bidi/>
      </w:pPr>
      <w:bookmarkStart w:name="_sec1" w:id="1"/>
      <w:r>
        <w:rPr>
          <w:rFonts w:ascii="Arial" w:cs="Arial" w:eastAsia="Arial" w:hAnsi="Arial"/>
          <w:b/>
          <w:bCs/>
          <w:color w:val="1F3A5F"/>
          <w:sz w:val="32"/>
          <w:szCs w:val="32"/>
          <w:rtl/>
        </w:rPr>
        <w:t xml:space="preserve">1. الغرض والنطاق</w:t>
      </w:r>
      <w:bookmarkEnd w:id="1"/>
    </w:p>
    <w:p>
      <w:pPr>
        <w:bidi/>
        <w:spacing w:after="110" w:before="0" w:line="312"/>
      </w:pPr>
      <w:r>
        <w:rPr>
          <w:rFonts w:ascii="Arial" w:cs="Arial" w:eastAsia="Arial" w:hAnsi="Arial"/>
          <w:b w:val="false"/>
          <w:bCs w:val="false"/>
          <w:sz w:val="21"/>
          <w:szCs w:val="21"/>
          <w:rtl/>
        </w:rPr>
        <w:t xml:space="preserve">يربط هذا السجل كل متطلب وظيفي في S0 وS1 بسيناريو قبول واحد على الأقل، بصيغة Given/When/Then، وبطريقة تنفيذه آليًا أو يدويًا.</w:t>
      </w:r>
    </w:p>
    <w:p>
      <w:pPr>
        <w:pStyle w:val="ListParagraph"/>
        <w:numPr>
          <w:ilvl w:val="0"/>
          <w:numId w:val="2"/>
        </w:numPr>
        <w:bidi/>
        <w:spacing w:after="70" w:before="0" w:line="300"/>
      </w:pPr>
      <w:r>
        <w:rPr>
          <w:rFonts w:ascii="Arial" w:cs="Arial" w:eastAsia="Arial" w:hAnsi="Arial"/>
          <w:b w:val="false"/>
          <w:bCs w:val="false"/>
          <w:sz w:val="21"/>
          <w:szCs w:val="21"/>
          <w:rtl/>
        </w:rPr>
        <w:t xml:space="preserve">النطاق: متطلبات S0 وS1 في 10-m0-m1 (PLT وORG وPTY)، ومتطلبات S1 في 11-m2-m4 (INS وACC وCAT)، ومتطلبات S1 في 13-m6 (NTF) لأنها جزء من الشريحة نفسها.</w:t>
      </w:r>
    </w:p>
    <w:p>
      <w:pPr>
        <w:pStyle w:val="ListParagraph"/>
        <w:numPr>
          <w:ilvl w:val="0"/>
          <w:numId w:val="2"/>
        </w:numPr>
        <w:bidi/>
        <w:spacing w:after="70" w:before="0" w:line="300"/>
      </w:pPr>
      <w:r>
        <w:rPr>
          <w:rFonts w:ascii="Arial" w:cs="Arial" w:eastAsia="Arial" w:hAnsi="Arial"/>
          <w:b w:val="false"/>
          <w:bCs w:val="false"/>
          <w:sz w:val="21"/>
          <w:szCs w:val="21"/>
          <w:rtl/>
        </w:rPr>
        <w:t xml:space="preserve">العدد: 38 متطلبًا في S0 و108 في S1، أي 146، بحسب أعمدة الشريحة في جداول FR (مثلًا docs/10-detailed-analysis/10-m0-m1-platform-organization.md:103-149).</w:t>
      </w:r>
    </w:p>
    <w:p>
      <w:pPr>
        <w:pStyle w:val="ListParagraph"/>
        <w:numPr>
          <w:ilvl w:val="0"/>
          <w:numId w:val="2"/>
        </w:numPr>
        <w:bidi/>
        <w:spacing w:after="70" w:before="0" w:line="300"/>
      </w:pPr>
      <w:r>
        <w:rPr>
          <w:rFonts w:ascii="Arial" w:cs="Arial" w:eastAsia="Arial" w:hAnsi="Arial"/>
          <w:b w:val="false"/>
          <w:bCs w:val="false"/>
          <w:sz w:val="21"/>
          <w:szCs w:val="21"/>
          <w:rtl/>
        </w:rPr>
        <w:t xml:space="preserve">خارج النطاق: سيناريوهات S1-ب (AC-ORG-1 وAC-ORG-2 وAC-ACC-2 إلى AC-ACC-4) وما بعدها.</w:t>
      </w:r>
    </w:p>
    <w:p>
      <w:pPr>
        <w:pStyle w:val="ListParagraph"/>
        <w:numPr>
          <w:ilvl w:val="0"/>
          <w:numId w:val="2"/>
        </w:numPr>
        <w:bidi/>
        <w:spacing w:after="70" w:before="0" w:line="300"/>
      </w:pPr>
      <w:r>
        <w:rPr>
          <w:rFonts w:ascii="Arial" w:cs="Arial" w:eastAsia="Arial" w:hAnsi="Arial"/>
          <w:b w:val="false"/>
          <w:bCs w:val="false"/>
          <w:sz w:val="21"/>
          <w:szCs w:val="21"/>
          <w:rtl/>
        </w:rPr>
        <w:t xml:space="preserve">الوضع قبل هذا السجل: 17 سيناريو قائمًا يغطي 36 متطلبًا من الـ 146، منها 11 تغطية ضمنية لا يذكر نص السيناريو فيها رقم المتطلب. ويضيف هذا السجل 44 سيناريو جديدًا للـ 110 الباقية.</w:t>
      </w:r>
    </w:p>
    <w:p>
      <w:pPr>
        <w:pStyle w:val="ListParagraph"/>
        <w:numPr>
          <w:ilvl w:val="0"/>
          <w:numId w:val="2"/>
        </w:numPr>
        <w:bidi/>
        <w:spacing w:after="70" w:before="0" w:line="300"/>
      </w:pPr>
      <w:r>
        <w:rPr>
          <w:rFonts w:ascii="Arial" w:cs="Arial" w:eastAsia="Arial" w:hAnsi="Arial"/>
          <w:b w:val="false"/>
          <w:bCs w:val="false"/>
          <w:sz w:val="21"/>
          <w:szCs w:val="21"/>
          <w:rtl/>
        </w:rPr>
        <w:t xml:space="preserve">صيغة المعرّف </w:t>
      </w:r>
      <w:r>
        <w:rPr>
          <w:rFonts w:ascii="Courier New" w:cs="Courier New" w:eastAsia="Courier New" w:hAnsi="Courier New"/>
          <w:b w:val="false"/>
          <w:bCs w:val="false"/>
          <w:color w:val="1F2937"/>
          <w:sz w:val="18"/>
          <w:szCs w:val="18"/>
          <w:shd w:fill="F1F3F5" w:color="auto" w:val="clear"/>
          <w:rtl/>
        </w:rPr>
        <w:t xml:space="preserve">‎AC-xxx-n‎</w:t>
      </w:r>
      <w:r>
        <w:rPr>
          <w:rFonts w:ascii="Arial" w:cs="Arial" w:eastAsia="Arial" w:hAnsi="Arial"/>
          <w:b w:val="false"/>
          <w:bCs w:val="false"/>
          <w:sz w:val="21"/>
          <w:szCs w:val="21"/>
          <w:rtl/>
        </w:rPr>
        <w:t xml:space="preserve"> مسبوقة برمز الوحدة (docs/10-detailed-analysis/00-overview-and-cross-cutting.md:124)، ويستمر الترقيم من آخر رقم قائم.</w:t>
      </w:r>
    </w:p>
    <w:p>
      <w:pPr>
        <w:bidi/>
        <w:spacing w:after="60" w:before="0"/>
      </w:pPr>
    </w:p>
    <w:p>
      <w:pPr>
        <w:bidi/>
        <w:spacing w:after="110" w:before="0" w:line="312"/>
      </w:pPr>
      <w:r>
        <w:rPr>
          <w:rFonts w:ascii="Arial" w:cs="Arial" w:eastAsia="Arial" w:hAnsi="Arial"/>
          <w:b w:val="false"/>
          <w:bCs w:val="false"/>
          <w:sz w:val="21"/>
          <w:szCs w:val="21"/>
          <w:rtl/>
        </w:rPr>
        <w:t xml:space="preserve">مفتاح عمود الأتمتة: «قاعدة T-n» حالة قائمة في db/tests/tenant_isolation_tests.sql · «API» اختبار تكامل على الواجهة البرمجية · «واجهة» اختبار Playwright · «CI» فحص في خط البناء · «يدوي» قائمة فحص.</w:t>
      </w:r>
    </w:p>
    <w:p>
      <w:pPr>
        <w:pStyle w:val="Heading1"/>
        <w:bidi/>
      </w:pPr>
      <w:bookmarkStart w:name="_sec2" w:id="2"/>
      <w:r>
        <w:rPr>
          <w:rFonts w:ascii="Arial" w:cs="Arial" w:eastAsia="Arial" w:hAnsi="Arial"/>
          <w:b/>
          <w:bCs/>
          <w:color w:val="1F3A5F"/>
          <w:sz w:val="32"/>
          <w:szCs w:val="32"/>
          <w:rtl/>
        </w:rPr>
        <w:t xml:space="preserve">2. السجل</w:t>
      </w:r>
      <w:bookmarkEnd w:id="2"/>
    </w:p>
    <w:p>
      <w:pPr>
        <w:pStyle w:val="Heading2"/>
        <w:bidi/>
      </w:pPr>
      <w:bookmarkStart w:name="_sec3" w:id="3"/>
      <w:r>
        <w:rPr>
          <w:rFonts w:ascii="Arial" w:cs="Arial" w:eastAsia="Arial" w:hAnsi="Arial"/>
          <w:b/>
          <w:bCs/>
          <w:color w:val="2B5C8A"/>
          <w:sz w:val="26"/>
          <w:szCs w:val="26"/>
          <w:rtl/>
        </w:rPr>
        <w:t xml:space="preserve">2.1 سيناريوهات قائمة داخل النطاق</w:t>
      </w:r>
      <w:bookmarkEnd w:id="3"/>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920"/>
        <w:gridCol w:w="920"/>
        <w:gridCol w:w="1365"/>
        <w:gridCol w:w="920"/>
        <w:gridCol w:w="920"/>
        <w:gridCol w:w="4819"/>
      </w:tblGrid>
      <w:tr>
        <w:trPr>
          <w:cantSplit/>
          <w:tblHeader/>
        </w:trPr>
        <w:tc>
          <w:tcPr>
            <w:tcW w:type="dxa" w:w="920"/>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المعرّف</w:t>
            </w:r>
          </w:p>
        </w:tc>
        <w:tc>
          <w:tcPr>
            <w:tcW w:type="dxa" w:w="920"/>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المتطلبات</w:t>
            </w:r>
          </w:p>
        </w:tc>
        <w:tc>
          <w:tcPr>
            <w:tcW w:type="dxa" w:w="1365"/>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الشريحة</w:t>
            </w:r>
          </w:p>
        </w:tc>
        <w:tc>
          <w:tcPr>
            <w:tcW w:type="dxa" w:w="920"/>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السيناريو</w:t>
            </w:r>
          </w:p>
        </w:tc>
        <w:tc>
          <w:tcPr>
            <w:tcW w:type="dxa" w:w="920"/>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الأتمتة</w:t>
            </w:r>
          </w:p>
        </w:tc>
        <w:tc>
          <w:tcPr>
            <w:tcW w:type="dxa" w:w="4819"/>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المصدر</w:t>
            </w:r>
          </w:p>
        </w:tc>
      </w:tr>
      <w:tr>
        <w:trPr>
          <w:cantSplit/>
        </w:trPr>
        <w:tc>
          <w:tcPr>
            <w:tcW w:type="dxa" w:w="92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AC-PLT-1</w:t>
            </w:r>
          </w:p>
        </w:tc>
        <w:tc>
          <w:tcPr>
            <w:tcW w:type="dxa" w:w="92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FR-PLT-036، FR-PLT-020</w:t>
            </w:r>
          </w:p>
        </w:tc>
        <w:tc>
          <w:tcPr>
            <w:tcW w:type="dxa" w:w="136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S0</w:t>
            </w:r>
          </w:p>
        </w:tc>
        <w:tc>
          <w:tcPr>
            <w:tcW w:type="dxa" w:w="92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عزل مشتركين، وبلا سياق 0 صفوف</w:t>
            </w:r>
          </w:p>
        </w:tc>
        <w:tc>
          <w:tcPr>
            <w:tcW w:type="dxa" w:w="92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قاعدة T1-T16c وT24 وT28؛ API</w:t>
            </w:r>
          </w:p>
        </w:tc>
        <w:tc>
          <w:tcPr>
            <w:tcW w:type="dxa" w:w="481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docs/10-detailed-analysis/10-m0-m1-platform-organization.md:650</w:t>
            </w:r>
          </w:p>
        </w:tc>
      </w:tr>
      <w:tr>
        <w:trPr>
          <w:cantSplit/>
        </w:trPr>
        <w:tc>
          <w:tcPr>
            <w:tcW w:type="dxa" w:w="92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AC-PLT-2</w:t>
            </w:r>
          </w:p>
        </w:tc>
        <w:tc>
          <w:tcPr>
            <w:tcW w:type="dxa" w:w="92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FR-PLT-011، FR-PLT-012</w:t>
            </w:r>
          </w:p>
        </w:tc>
        <w:tc>
          <w:tcPr>
            <w:tcW w:type="dxa" w:w="136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S0</w:t>
            </w:r>
          </w:p>
        </w:tc>
        <w:tc>
          <w:tcPr>
            <w:tcW w:type="dxa" w:w="92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القفل وMFA وتسعة أحداث تدقيق</w:t>
            </w:r>
          </w:p>
        </w:tc>
        <w:tc>
          <w:tcPr>
            <w:tcW w:type="dxa" w:w="92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قاعدة T33 وT34 وT36؛ API</w:t>
            </w:r>
          </w:p>
        </w:tc>
        <w:tc>
          <w:tcPr>
            <w:tcW w:type="dxa" w:w="481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docs/10-detailed-analysis/10-m0-m1-platform-organization.md:655</w:t>
            </w:r>
          </w:p>
        </w:tc>
      </w:tr>
      <w:tr>
        <w:trPr>
          <w:cantSplit/>
        </w:trPr>
        <w:tc>
          <w:tcPr>
            <w:tcW w:type="dxa" w:w="92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AC-PLT-3</w:t>
            </w:r>
          </w:p>
        </w:tc>
        <w:tc>
          <w:tcPr>
            <w:tcW w:type="dxa" w:w="92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FR-PLT-026</w:t>
            </w:r>
          </w:p>
        </w:tc>
        <w:tc>
          <w:tcPr>
            <w:tcW w:type="dxa" w:w="136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S0</w:t>
            </w:r>
          </w:p>
        </w:tc>
        <w:tc>
          <w:tcPr>
            <w:tcW w:type="dxa" w:w="92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الترقيم بلا فجوات تحت التزامن</w:t>
            </w:r>
          </w:p>
        </w:tc>
        <w:tc>
          <w:tcPr>
            <w:tcW w:type="dxa" w:w="92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API</w:t>
            </w:r>
          </w:p>
        </w:tc>
        <w:tc>
          <w:tcPr>
            <w:tcW w:type="dxa" w:w="481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docs/10-detailed-analysis/10-m0-m1-platform-organization.md:685</w:t>
            </w:r>
          </w:p>
        </w:tc>
      </w:tr>
      <w:tr>
        <w:trPr>
          <w:cantSplit/>
        </w:trPr>
        <w:tc>
          <w:tcPr>
            <w:tcW w:type="dxa" w:w="92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AC-PLT-4</w:t>
            </w:r>
          </w:p>
        </w:tc>
        <w:tc>
          <w:tcPr>
            <w:tcW w:type="dxa" w:w="92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FR-PLT-045</w:t>
            </w:r>
          </w:p>
        </w:tc>
        <w:tc>
          <w:tcPr>
            <w:tcW w:type="dxa" w:w="136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S0</w:t>
            </w:r>
          </w:p>
        </w:tc>
        <w:tc>
          <w:tcPr>
            <w:tcW w:type="dxa" w:w="92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بوابة الإصدارات في CI</w:t>
            </w:r>
          </w:p>
        </w:tc>
        <w:tc>
          <w:tcPr>
            <w:tcW w:type="dxa" w:w="92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CI</w:t>
            </w:r>
          </w:p>
        </w:tc>
        <w:tc>
          <w:tcPr>
            <w:tcW w:type="dxa" w:w="481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docs/10-detailed-analysis/10-m0-m1-platform-organization.md:695</w:t>
            </w:r>
          </w:p>
        </w:tc>
      </w:tr>
      <w:tr>
        <w:trPr>
          <w:cantSplit/>
        </w:trPr>
        <w:tc>
          <w:tcPr>
            <w:tcW w:type="dxa" w:w="92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AC-ORG-3</w:t>
            </w:r>
          </w:p>
        </w:tc>
        <w:tc>
          <w:tcPr>
            <w:tcW w:type="dxa" w:w="92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FR-ORG-005، FR-PLT-026</w:t>
            </w:r>
          </w:p>
        </w:tc>
        <w:tc>
          <w:tcPr>
            <w:tcW w:type="dxa" w:w="136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S1</w:t>
            </w:r>
          </w:p>
        </w:tc>
        <w:tc>
          <w:tcPr>
            <w:tcW w:type="dxa" w:w="92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تفرّد رمز ERP وتفعيل PROFORMA</w:t>
            </w:r>
          </w:p>
        </w:tc>
        <w:tc>
          <w:tcPr>
            <w:tcW w:type="dxa" w:w="92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API</w:t>
            </w:r>
          </w:p>
        </w:tc>
        <w:tc>
          <w:tcPr>
            <w:tcW w:type="dxa" w:w="481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docs/10-detailed-analysis/10-m0-m1-platform-organization.md:690</w:t>
            </w:r>
          </w:p>
        </w:tc>
      </w:tr>
      <w:tr>
        <w:trPr>
          <w:cantSplit/>
        </w:trPr>
        <w:tc>
          <w:tcPr>
            <w:tcW w:type="dxa" w:w="92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AC-PTY-1</w:t>
            </w:r>
          </w:p>
        </w:tc>
        <w:tc>
          <w:tcPr>
            <w:tcW w:type="dxa" w:w="92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FR-PTY-007، FR-PTY-008، FR-PLT-019</w:t>
            </w:r>
          </w:p>
        </w:tc>
        <w:tc>
          <w:tcPr>
            <w:tcW w:type="dxa" w:w="136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S1، وجزء PERMISSION_LOCKED في S0</w:t>
            </w:r>
          </w:p>
        </w:tc>
        <w:tc>
          <w:tcPr>
            <w:tcW w:type="dxa" w:w="92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الكشف وقفل الصلاحية</w:t>
            </w:r>
          </w:p>
        </w:tc>
        <w:tc>
          <w:tcPr>
            <w:tcW w:type="dxa" w:w="92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API؛ واجهة؛ قاعدة T21</w:t>
            </w:r>
          </w:p>
        </w:tc>
        <w:tc>
          <w:tcPr>
            <w:tcW w:type="dxa" w:w="481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docs/10-detailed-analysis/10-m0-m1-platform-organization.md:665</w:t>
            </w:r>
          </w:p>
        </w:tc>
      </w:tr>
      <w:tr>
        <w:trPr>
          <w:cantSplit/>
        </w:trPr>
        <w:tc>
          <w:tcPr>
            <w:tcW w:type="dxa" w:w="92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AC-PTY-2</w:t>
            </w:r>
          </w:p>
        </w:tc>
        <w:tc>
          <w:tcPr>
            <w:tcW w:type="dxa" w:w="92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FR-PTY-015، FR-PTY-016</w:t>
            </w:r>
          </w:p>
        </w:tc>
        <w:tc>
          <w:tcPr>
            <w:tcW w:type="dxa" w:w="136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S1</w:t>
            </w:r>
          </w:p>
        </w:tc>
        <w:tc>
          <w:tcPr>
            <w:tcW w:type="dxa" w:w="92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منع التكرار والدمج</w:t>
            </w:r>
          </w:p>
        </w:tc>
        <w:tc>
          <w:tcPr>
            <w:tcW w:type="dxa" w:w="92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API</w:t>
            </w:r>
          </w:p>
        </w:tc>
        <w:tc>
          <w:tcPr>
            <w:tcW w:type="dxa" w:w="481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docs/10-detailed-analysis/10-m0-m1-platform-organization.md:670</w:t>
            </w:r>
          </w:p>
        </w:tc>
      </w:tr>
      <w:tr>
        <w:trPr>
          <w:cantSplit/>
        </w:trPr>
        <w:tc>
          <w:tcPr>
            <w:tcW w:type="dxa" w:w="92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AC-PTY-3</w:t>
            </w:r>
          </w:p>
        </w:tc>
        <w:tc>
          <w:tcPr>
            <w:tcW w:type="dxa" w:w="92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FR-PTY-021، وFR-PTY-024 وFR-PTY-026 في S2</w:t>
            </w:r>
          </w:p>
        </w:tc>
        <w:tc>
          <w:tcPr>
            <w:tcW w:type="dxa" w:w="136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S1 للانتهاء، S2 للاكتمال</w:t>
            </w:r>
          </w:p>
        </w:tc>
        <w:tc>
          <w:tcPr>
            <w:tcW w:type="dxa" w:w="92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انتهاء الإقامة والاكتمال</w:t>
            </w:r>
          </w:p>
        </w:tc>
        <w:tc>
          <w:tcPr>
            <w:tcW w:type="dxa" w:w="92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API</w:t>
            </w:r>
          </w:p>
        </w:tc>
        <w:tc>
          <w:tcPr>
            <w:tcW w:type="dxa" w:w="481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docs/10-detailed-analysis/10-m0-m1-platform-organization.md:675</w:t>
            </w:r>
          </w:p>
        </w:tc>
      </w:tr>
      <w:tr>
        <w:trPr>
          <w:cantSplit/>
        </w:trPr>
        <w:tc>
          <w:tcPr>
            <w:tcW w:type="dxa" w:w="92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AC-INS-1</w:t>
            </w:r>
          </w:p>
        </w:tc>
        <w:tc>
          <w:tcPr>
            <w:tcW w:type="dxa" w:w="92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FR-INS-014، وضمنيًا FR-INS-013</w:t>
            </w:r>
          </w:p>
        </w:tc>
        <w:tc>
          <w:tcPr>
            <w:tcW w:type="dxa" w:w="136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S1</w:t>
            </w:r>
          </w:p>
        </w:tc>
        <w:tc>
          <w:tcPr>
            <w:tcW w:type="dxa" w:w="92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معالج إعداد البنك (خروج S1)</w:t>
            </w:r>
          </w:p>
        </w:tc>
        <w:tc>
          <w:tcPr>
            <w:tcW w:type="dxa" w:w="92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API؛ واجهة</w:t>
            </w:r>
          </w:p>
        </w:tc>
        <w:tc>
          <w:tcPr>
            <w:tcW w:type="dxa" w:w="481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docs/10-detailed-analysis/11-m2-m4-institutions-accounts-catalogs.md:646</w:t>
            </w:r>
          </w:p>
        </w:tc>
      </w:tr>
      <w:tr>
        <w:trPr>
          <w:cantSplit/>
        </w:trPr>
        <w:tc>
          <w:tcPr>
            <w:tcW w:type="dxa" w:w="92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AC-INS-2</w:t>
            </w:r>
          </w:p>
        </w:tc>
        <w:tc>
          <w:tcPr>
            <w:tcW w:type="dxa" w:w="92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FR-INS-008، وضمنيًا FR-INS-016</w:t>
            </w:r>
          </w:p>
        </w:tc>
        <w:tc>
          <w:tcPr>
            <w:tcW w:type="dxa" w:w="136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S1</w:t>
            </w:r>
          </w:p>
        </w:tc>
        <w:tc>
          <w:tcPr>
            <w:tcW w:type="dxa" w:w="92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«يتبع لـ» وتعطيل جهة افتراضية</w:t>
            </w:r>
          </w:p>
        </w:tc>
        <w:tc>
          <w:tcPr>
            <w:tcW w:type="dxa" w:w="92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API</w:t>
            </w:r>
          </w:p>
        </w:tc>
        <w:tc>
          <w:tcPr>
            <w:tcW w:type="dxa" w:w="481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docs/10-detailed-analysis/11-m2-m4-institutions-accounts-catalogs.md:648</w:t>
            </w:r>
          </w:p>
        </w:tc>
      </w:tr>
      <w:tr>
        <w:trPr>
          <w:cantSplit/>
        </w:trPr>
        <w:tc>
          <w:tcPr>
            <w:tcW w:type="dxa" w:w="92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AC-INS-3</w:t>
            </w:r>
          </w:p>
        </w:tc>
        <w:tc>
          <w:tcPr>
            <w:tcW w:type="dxa" w:w="92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FR-INS-007، FR-INS-021، FR-PTY-016</w:t>
            </w:r>
          </w:p>
        </w:tc>
        <w:tc>
          <w:tcPr>
            <w:tcW w:type="dxa" w:w="136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S1</w:t>
            </w:r>
          </w:p>
        </w:tc>
        <w:tc>
          <w:tcPr>
            <w:tcW w:type="dxa" w:w="92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ترقية جهة اتصال إلى Party</w:t>
            </w:r>
          </w:p>
        </w:tc>
        <w:tc>
          <w:tcPr>
            <w:tcW w:type="dxa" w:w="92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API</w:t>
            </w:r>
          </w:p>
        </w:tc>
        <w:tc>
          <w:tcPr>
            <w:tcW w:type="dxa" w:w="481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docs/10-detailed-analysis/11-m2-m4-institutions-accounts-catalogs.md:650</w:t>
            </w:r>
          </w:p>
        </w:tc>
      </w:tr>
      <w:tr>
        <w:trPr>
          <w:cantSplit/>
        </w:trPr>
        <w:tc>
          <w:tcPr>
            <w:tcW w:type="dxa" w:w="92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AC-ACC-1</w:t>
            </w:r>
          </w:p>
        </w:tc>
        <w:tc>
          <w:tcPr>
            <w:tcW w:type="dxa" w:w="92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ضمنيًا FR-ACC-002 و004 و005 و006 و008 و009</w:t>
            </w:r>
          </w:p>
        </w:tc>
        <w:tc>
          <w:tcPr>
            <w:tcW w:type="dxa" w:w="136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S1</w:t>
            </w:r>
          </w:p>
        </w:tc>
        <w:tc>
          <w:tcPr>
            <w:tcW w:type="dxa" w:w="92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IBAN والحساب الافتراضي والتقنيع</w:t>
            </w:r>
          </w:p>
        </w:tc>
        <w:tc>
          <w:tcPr>
            <w:tcW w:type="dxa" w:w="92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API؛ واجهة</w:t>
            </w:r>
          </w:p>
        </w:tc>
        <w:tc>
          <w:tcPr>
            <w:tcW w:type="dxa" w:w="481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docs/10-detailed-analysis/11-m2-m4-institutions-accounts-catalogs.md:652</w:t>
            </w:r>
          </w:p>
        </w:tc>
      </w:tr>
      <w:tr>
        <w:trPr>
          <w:cantSplit/>
        </w:trPr>
        <w:tc>
          <w:tcPr>
            <w:tcW w:type="dxa" w:w="92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AC-CAT-1</w:t>
            </w:r>
          </w:p>
        </w:tc>
        <w:tc>
          <w:tcPr>
            <w:tcW w:type="dxa" w:w="92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FR-CAT-002، FR-CAT-004، FR-CAT-026، وضمنيًا 006 و018 و019</w:t>
            </w:r>
          </w:p>
        </w:tc>
        <w:tc>
          <w:tcPr>
            <w:tcW w:type="dxa" w:w="136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S1</w:t>
            </w:r>
          </w:p>
        </w:tc>
        <w:tc>
          <w:tcPr>
            <w:tcW w:type="dxa" w:w="92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البذر والتعطيل والعزل</w:t>
            </w:r>
          </w:p>
        </w:tc>
        <w:tc>
          <w:tcPr>
            <w:tcW w:type="dxa" w:w="92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API؛ قاعدة T24</w:t>
            </w:r>
          </w:p>
        </w:tc>
        <w:tc>
          <w:tcPr>
            <w:tcW w:type="dxa" w:w="481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docs/10-detailed-analysis/11-m2-m4-institutions-accounts-catalogs.md:660</w:t>
            </w:r>
          </w:p>
        </w:tc>
      </w:tr>
      <w:tr>
        <w:trPr>
          <w:cantSplit/>
        </w:trPr>
        <w:tc>
          <w:tcPr>
            <w:tcW w:type="dxa" w:w="92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AC-CAT-2</w:t>
            </w:r>
          </w:p>
        </w:tc>
        <w:tc>
          <w:tcPr>
            <w:tcW w:type="dxa" w:w="92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FR-CAT-016</w:t>
            </w:r>
          </w:p>
        </w:tc>
        <w:tc>
          <w:tcPr>
            <w:tcW w:type="dxa" w:w="136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S1</w:t>
            </w:r>
          </w:p>
        </w:tc>
        <w:tc>
          <w:tcPr>
            <w:tcW w:type="dxa" w:w="92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سعر الأساس في تاريخ</w:t>
            </w:r>
          </w:p>
        </w:tc>
        <w:tc>
          <w:tcPr>
            <w:tcW w:type="dxa" w:w="92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API</w:t>
            </w:r>
          </w:p>
        </w:tc>
        <w:tc>
          <w:tcPr>
            <w:tcW w:type="dxa" w:w="481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docs/10-detailed-analysis/11-m2-m4-institutions-accounts-catalogs.md:662</w:t>
            </w:r>
          </w:p>
        </w:tc>
      </w:tr>
      <w:tr>
        <w:trPr>
          <w:cantSplit/>
        </w:trPr>
        <w:tc>
          <w:tcPr>
            <w:tcW w:type="dxa" w:w="92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AC-CAT-3</w:t>
            </w:r>
          </w:p>
        </w:tc>
        <w:tc>
          <w:tcPr>
            <w:tcW w:type="dxa" w:w="92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FR-CAT-015</w:t>
            </w:r>
          </w:p>
        </w:tc>
        <w:tc>
          <w:tcPr>
            <w:tcW w:type="dxa" w:w="136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S1</w:t>
            </w:r>
          </w:p>
        </w:tc>
        <w:tc>
          <w:tcPr>
            <w:tcW w:type="dxa" w:w="92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أسعار داخلية لبنكين</w:t>
            </w:r>
          </w:p>
        </w:tc>
        <w:tc>
          <w:tcPr>
            <w:tcW w:type="dxa" w:w="92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API</w:t>
            </w:r>
          </w:p>
        </w:tc>
        <w:tc>
          <w:tcPr>
            <w:tcW w:type="dxa" w:w="481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docs/10-detailed-analysis/11-m2-m4-institutions-accounts-catalogs.md:664</w:t>
            </w:r>
          </w:p>
        </w:tc>
      </w:tr>
      <w:tr>
        <w:trPr>
          <w:cantSplit/>
        </w:trPr>
        <w:tc>
          <w:tcPr>
            <w:tcW w:type="dxa" w:w="92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AC-WFL-8</w:t>
            </w:r>
          </w:p>
        </w:tc>
        <w:tc>
          <w:tcPr>
            <w:tcW w:type="dxa" w:w="92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FR-NTF-004، FR-NTF-008، وFR-NTF-017 في S2</w:t>
            </w:r>
          </w:p>
        </w:tc>
        <w:tc>
          <w:tcPr>
            <w:tcW w:type="dxa" w:w="136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S1</w:t>
            </w:r>
          </w:p>
        </w:tc>
        <w:tc>
          <w:tcPr>
            <w:tcW w:type="dxa" w:w="92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تنبيه بلا تكرار وبالنطاق</w:t>
            </w:r>
          </w:p>
        </w:tc>
        <w:tc>
          <w:tcPr>
            <w:tcW w:type="dxa" w:w="92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API</w:t>
            </w:r>
          </w:p>
        </w:tc>
        <w:tc>
          <w:tcPr>
            <w:tcW w:type="dxa" w:w="481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docs/10-detailed-analysis/13-m6-workflow-engine-notifications.md:781</w:t>
            </w:r>
          </w:p>
        </w:tc>
      </w:tr>
      <w:tr>
        <w:trPr>
          <w:cantSplit/>
        </w:trPr>
        <w:tc>
          <w:tcPr>
            <w:tcW w:type="dxa" w:w="92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AC-WFL-10</w:t>
            </w:r>
          </w:p>
        </w:tc>
        <w:tc>
          <w:tcPr>
            <w:tcW w:type="dxa" w:w="92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FR-NTF-001، وFR-NTF-015 في S3</w:t>
            </w:r>
          </w:p>
        </w:tc>
        <w:tc>
          <w:tcPr>
            <w:tcW w:type="dxa" w:w="136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S1 للفحص التقاطعي</w:t>
            </w:r>
          </w:p>
        </w:tc>
        <w:tc>
          <w:tcPr>
            <w:tcW w:type="dxa" w:w="92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كتالوج الأحداث والتذكير</w:t>
            </w:r>
          </w:p>
        </w:tc>
        <w:tc>
          <w:tcPr>
            <w:tcW w:type="dxa" w:w="92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CI؛ API</w:t>
            </w:r>
          </w:p>
        </w:tc>
        <w:tc>
          <w:tcPr>
            <w:tcW w:type="dxa" w:w="481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docs/10-detailed-analysis/13-m6-workflow-engine-notifications.md:791</w:t>
            </w:r>
          </w:p>
        </w:tc>
      </w:tr>
    </w:tbl>
    <w:p>
      <w:pPr>
        <w:bidi/>
        <w:spacing w:after="120" w:before="0"/>
      </w:pPr>
    </w:p>
    <w:p>
      <w:pPr>
        <w:pStyle w:val="Heading2"/>
        <w:bidi/>
      </w:pPr>
      <w:bookmarkStart w:name="_sec4" w:id="4"/>
      <w:r>
        <w:rPr>
          <w:rFonts w:ascii="Arial" w:cs="Arial" w:eastAsia="Arial" w:hAnsi="Arial"/>
          <w:b/>
          <w:bCs/>
          <w:color w:val="2B5C8A"/>
          <w:sz w:val="26"/>
          <w:szCs w:val="26"/>
          <w:rtl/>
        </w:rPr>
        <w:t xml:space="preserve">2.2 سيناريوهات جديدة</w:t>
      </w:r>
      <w:bookmarkEnd w:id="4"/>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1530"/>
        <w:gridCol w:w="1870"/>
        <w:gridCol w:w="1360"/>
        <w:gridCol w:w="1870"/>
        <w:gridCol w:w="2214"/>
        <w:gridCol w:w="1020"/>
      </w:tblGrid>
      <w:tr>
        <w:trPr>
          <w:cantSplit/>
          <w:tblHeader/>
        </w:trPr>
        <w:tc>
          <w:tcPr>
            <w:tcW w:type="dxa" w:w="1530"/>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المعرّف</w:t>
            </w:r>
          </w:p>
        </w:tc>
        <w:tc>
          <w:tcPr>
            <w:tcW w:type="dxa" w:w="1870"/>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المتطلبات</w:t>
            </w:r>
          </w:p>
        </w:tc>
        <w:tc>
          <w:tcPr>
            <w:tcW w:type="dxa" w:w="1360"/>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الشريحة</w:t>
            </w:r>
          </w:p>
        </w:tc>
        <w:tc>
          <w:tcPr>
            <w:tcW w:type="dxa" w:w="1870"/>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السيناريو</w:t>
            </w:r>
          </w:p>
        </w:tc>
        <w:tc>
          <w:tcPr>
            <w:tcW w:type="dxa" w:w="2214"/>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الأتمتة</w:t>
            </w:r>
          </w:p>
        </w:tc>
        <w:tc>
          <w:tcPr>
            <w:tcW w:type="dxa" w:w="1020"/>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المصدر</w:t>
            </w:r>
          </w:p>
        </w:tc>
      </w:tr>
      <w:tr>
        <w:trPr>
          <w:cantSplit/>
        </w:trPr>
        <w:tc>
          <w:tcPr>
            <w:tcW w:type="dxa" w:w="153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AC-PLT-5</w:t>
            </w:r>
          </w:p>
        </w:tc>
        <w:tc>
          <w:tcPr>
            <w:tcW w:type="dxa" w:w="187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FR-PLT-001، 003، 008، 013</w:t>
            </w:r>
          </w:p>
        </w:tc>
        <w:tc>
          <w:tcPr>
            <w:tcW w:type="dxa" w:w="136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S0</w:t>
            </w:r>
          </w:p>
        </w:tc>
        <w:tc>
          <w:tcPr>
            <w:tcW w:type="dxa" w:w="187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تأهيل مشترك جديد آليًا (خروج S0)</w:t>
            </w:r>
          </w:p>
        </w:tc>
        <w:tc>
          <w:tcPr>
            <w:tcW w:type="dxa" w:w="221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API؛ اختبار خروج S0</w:t>
            </w:r>
          </w:p>
        </w:tc>
        <w:tc>
          <w:tcPr>
            <w:tcW w:type="dxa" w:w="102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§3.1</w:t>
            </w:r>
          </w:p>
        </w:tc>
      </w:tr>
      <w:tr>
        <w:trPr>
          <w:cantSplit/>
        </w:trPr>
        <w:tc>
          <w:tcPr>
            <w:tcW w:type="dxa" w:w="153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AC-PLT-6</w:t>
            </w:r>
          </w:p>
        </w:tc>
        <w:tc>
          <w:tcPr>
            <w:tcW w:type="dxa" w:w="187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FR-PLT-002</w:t>
            </w:r>
          </w:p>
        </w:tc>
        <w:tc>
          <w:tcPr>
            <w:tcW w:type="dxa" w:w="136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S0</w:t>
            </w:r>
          </w:p>
        </w:tc>
        <w:tc>
          <w:tcPr>
            <w:tcW w:type="dxa" w:w="187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دورة حياة المشترك وأثرها على الربط</w:t>
            </w:r>
          </w:p>
        </w:tc>
        <w:tc>
          <w:tcPr>
            <w:tcW w:type="dxa" w:w="221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قاعدة T17 وT26 وT27 وT31؛ API</w:t>
            </w:r>
          </w:p>
        </w:tc>
        <w:tc>
          <w:tcPr>
            <w:tcW w:type="dxa" w:w="102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§3.1</w:t>
            </w:r>
          </w:p>
        </w:tc>
      </w:tr>
      <w:tr>
        <w:trPr>
          <w:cantSplit/>
        </w:trPr>
        <w:tc>
          <w:tcPr>
            <w:tcW w:type="dxa" w:w="153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AC-PLT-7</w:t>
            </w:r>
          </w:p>
        </w:tc>
        <w:tc>
          <w:tcPr>
            <w:tcW w:type="dxa" w:w="187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FR-PLT-004، 005، 006</w:t>
            </w:r>
          </w:p>
        </w:tc>
        <w:tc>
          <w:tcPr>
            <w:tcW w:type="dxa" w:w="136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S0</w:t>
            </w:r>
          </w:p>
        </w:tc>
        <w:tc>
          <w:tcPr>
            <w:tcW w:type="dxa" w:w="187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لوحة المشغّل وحساباته وحدود الباقة</w:t>
            </w:r>
          </w:p>
        </w:tc>
        <w:tc>
          <w:tcPr>
            <w:tcW w:type="dxa" w:w="221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API؛ CI (check_grants R3)؛ قاعدة T38</w:t>
            </w:r>
          </w:p>
        </w:tc>
        <w:tc>
          <w:tcPr>
            <w:tcW w:type="dxa" w:w="102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§3.1</w:t>
            </w:r>
          </w:p>
        </w:tc>
      </w:tr>
      <w:tr>
        <w:trPr>
          <w:cantSplit/>
        </w:trPr>
        <w:tc>
          <w:tcPr>
            <w:tcW w:type="dxa" w:w="153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AC-PLT-8</w:t>
            </w:r>
          </w:p>
        </w:tc>
        <w:tc>
          <w:tcPr>
            <w:tcW w:type="dxa" w:w="187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FR-PLT-007</w:t>
            </w:r>
          </w:p>
        </w:tc>
        <w:tc>
          <w:tcPr>
            <w:tcW w:type="dxa" w:w="136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S0</w:t>
            </w:r>
          </w:p>
        </w:tc>
        <w:tc>
          <w:tcPr>
            <w:tcW w:type="dxa" w:w="187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وصول الدعم المؤقت</w:t>
            </w:r>
          </w:p>
        </w:tc>
        <w:tc>
          <w:tcPr>
            <w:tcW w:type="dxa" w:w="221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API</w:t>
            </w:r>
          </w:p>
        </w:tc>
        <w:tc>
          <w:tcPr>
            <w:tcW w:type="dxa" w:w="102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§3.1</w:t>
            </w:r>
          </w:p>
        </w:tc>
      </w:tr>
      <w:tr>
        <w:trPr>
          <w:cantSplit/>
        </w:trPr>
        <w:tc>
          <w:tcPr>
            <w:tcW w:type="dxa" w:w="153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AC-PLT-9</w:t>
            </w:r>
          </w:p>
        </w:tc>
        <w:tc>
          <w:tcPr>
            <w:tcW w:type="dxa" w:w="187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FR-PLT-009</w:t>
            </w:r>
          </w:p>
        </w:tc>
        <w:tc>
          <w:tcPr>
            <w:tcW w:type="dxa" w:w="136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S0</w:t>
            </w:r>
          </w:p>
        </w:tc>
        <w:tc>
          <w:tcPr>
            <w:tcW w:type="dxa" w:w="187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قائمة البدء</w:t>
            </w:r>
          </w:p>
        </w:tc>
        <w:tc>
          <w:tcPr>
            <w:tcW w:type="dxa" w:w="221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واجهة</w:t>
            </w:r>
          </w:p>
        </w:tc>
        <w:tc>
          <w:tcPr>
            <w:tcW w:type="dxa" w:w="102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§3.1</w:t>
            </w:r>
          </w:p>
        </w:tc>
      </w:tr>
      <w:tr>
        <w:trPr>
          <w:cantSplit/>
        </w:trPr>
        <w:tc>
          <w:tcPr>
            <w:tcW w:type="dxa" w:w="153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AC-PLT-10</w:t>
            </w:r>
          </w:p>
        </w:tc>
        <w:tc>
          <w:tcPr>
            <w:tcW w:type="dxa" w:w="187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FR-PLT-010</w:t>
            </w:r>
          </w:p>
        </w:tc>
        <w:tc>
          <w:tcPr>
            <w:tcW w:type="dxa" w:w="136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S0</w:t>
            </w:r>
          </w:p>
        </w:tc>
        <w:tc>
          <w:tcPr>
            <w:tcW w:type="dxa" w:w="187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كلمة المرور وتخزينها</w:t>
            </w:r>
          </w:p>
        </w:tc>
        <w:tc>
          <w:tcPr>
            <w:tcW w:type="dxa" w:w="221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قاعدة T33 وT35؛ API</w:t>
            </w:r>
          </w:p>
        </w:tc>
        <w:tc>
          <w:tcPr>
            <w:tcW w:type="dxa" w:w="102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§3.1</w:t>
            </w:r>
          </w:p>
        </w:tc>
      </w:tr>
      <w:tr>
        <w:trPr>
          <w:cantSplit/>
        </w:trPr>
        <w:tc>
          <w:tcPr>
            <w:tcW w:type="dxa" w:w="153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AC-PLT-11</w:t>
            </w:r>
          </w:p>
        </w:tc>
        <w:tc>
          <w:tcPr>
            <w:tcW w:type="dxa" w:w="187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FR-PLT-013</w:t>
            </w:r>
          </w:p>
        </w:tc>
        <w:tc>
          <w:tcPr>
            <w:tcW w:type="dxa" w:w="136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S0</w:t>
            </w:r>
          </w:p>
        </w:tc>
        <w:tc>
          <w:tcPr>
            <w:tcW w:type="dxa" w:w="187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الدعوة وإعادة التعيين</w:t>
            </w:r>
          </w:p>
        </w:tc>
        <w:tc>
          <w:tcPr>
            <w:tcW w:type="dxa" w:w="221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API</w:t>
            </w:r>
          </w:p>
        </w:tc>
        <w:tc>
          <w:tcPr>
            <w:tcW w:type="dxa" w:w="102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§3.1</w:t>
            </w:r>
          </w:p>
        </w:tc>
      </w:tr>
      <w:tr>
        <w:trPr>
          <w:cantSplit/>
        </w:trPr>
        <w:tc>
          <w:tcPr>
            <w:tcW w:type="dxa" w:w="153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AC-PLT-12</w:t>
            </w:r>
          </w:p>
        </w:tc>
        <w:tc>
          <w:tcPr>
            <w:tcW w:type="dxa" w:w="187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FR-PLT-014</w:t>
            </w:r>
          </w:p>
        </w:tc>
        <w:tc>
          <w:tcPr>
            <w:tcW w:type="dxa" w:w="136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S0</w:t>
            </w:r>
          </w:p>
        </w:tc>
        <w:tc>
          <w:tcPr>
            <w:tcW w:type="dxa" w:w="187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مهل الجلسة وإنهاؤها</w:t>
            </w:r>
          </w:p>
        </w:tc>
        <w:tc>
          <w:tcPr>
            <w:tcW w:type="dxa" w:w="221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قاعدة T32 وT35 وT37؛ API</w:t>
            </w:r>
          </w:p>
        </w:tc>
        <w:tc>
          <w:tcPr>
            <w:tcW w:type="dxa" w:w="102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§3.1</w:t>
            </w:r>
          </w:p>
        </w:tc>
      </w:tr>
      <w:tr>
        <w:trPr>
          <w:cantSplit/>
        </w:trPr>
        <w:tc>
          <w:tcPr>
            <w:tcW w:type="dxa" w:w="153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AC-PLT-13</w:t>
            </w:r>
          </w:p>
        </w:tc>
        <w:tc>
          <w:tcPr>
            <w:tcW w:type="dxa" w:w="187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FR-PLT-016، 017، 018، 021</w:t>
            </w:r>
          </w:p>
        </w:tc>
        <w:tc>
          <w:tcPr>
            <w:tcW w:type="dxa" w:w="136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S0</w:t>
            </w:r>
          </w:p>
        </w:tc>
        <w:tc>
          <w:tcPr>
            <w:tcW w:type="dxa" w:w="187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المستخدمون والأدوار وترتيب التقييم</w:t>
            </w:r>
          </w:p>
        </w:tc>
        <w:tc>
          <w:tcPr>
            <w:tcW w:type="dxa" w:w="221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API؛ CI؛ قاعدة T25 وT30</w:t>
            </w:r>
          </w:p>
        </w:tc>
        <w:tc>
          <w:tcPr>
            <w:tcW w:type="dxa" w:w="102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§3.1</w:t>
            </w:r>
          </w:p>
        </w:tc>
      </w:tr>
      <w:tr>
        <w:trPr>
          <w:cantSplit/>
        </w:trPr>
        <w:tc>
          <w:tcPr>
            <w:tcW w:type="dxa" w:w="153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AC-PLT-14</w:t>
            </w:r>
          </w:p>
        </w:tc>
        <w:tc>
          <w:tcPr>
            <w:tcW w:type="dxa" w:w="187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FR-PLT-022، 023، 024</w:t>
            </w:r>
          </w:p>
        </w:tc>
        <w:tc>
          <w:tcPr>
            <w:tcW w:type="dxa" w:w="136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S0</w:t>
            </w:r>
          </w:p>
        </w:tc>
        <w:tc>
          <w:tcPr>
            <w:tcW w:type="dxa" w:w="187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سجل التدقيق وعارضه</w:t>
            </w:r>
          </w:p>
        </w:tc>
        <w:tc>
          <w:tcPr>
            <w:tcW w:type="dxa" w:w="221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قاعدة T13-T15؛ API</w:t>
            </w:r>
          </w:p>
        </w:tc>
        <w:tc>
          <w:tcPr>
            <w:tcW w:type="dxa" w:w="102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§3.1</w:t>
            </w:r>
          </w:p>
        </w:tc>
      </w:tr>
      <w:tr>
        <w:trPr>
          <w:cantSplit/>
        </w:trPr>
        <w:tc>
          <w:tcPr>
            <w:tcW w:type="dxa" w:w="153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AC-PLT-15</w:t>
            </w:r>
          </w:p>
        </w:tc>
        <w:tc>
          <w:tcPr>
            <w:tcW w:type="dxa" w:w="187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FR-PLT-027 إلى 030، FR-CAT-018</w:t>
            </w:r>
          </w:p>
        </w:tc>
        <w:tc>
          <w:tcPr>
            <w:tcW w:type="dxa" w:w="136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S0</w:t>
            </w:r>
          </w:p>
        </w:tc>
        <w:tc>
          <w:tcPr>
            <w:tcW w:type="dxa" w:w="187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مخزن المستندات ورفعها وتنزيلها</w:t>
            </w:r>
          </w:p>
        </w:tc>
        <w:tc>
          <w:tcPr>
            <w:tcW w:type="dxa" w:w="221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API</w:t>
            </w:r>
          </w:p>
        </w:tc>
        <w:tc>
          <w:tcPr>
            <w:tcW w:type="dxa" w:w="102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§3.1</w:t>
            </w:r>
          </w:p>
        </w:tc>
      </w:tr>
      <w:tr>
        <w:trPr>
          <w:cantSplit/>
        </w:trPr>
        <w:tc>
          <w:tcPr>
            <w:tcW w:type="dxa" w:w="153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AC-PLT-16</w:t>
            </w:r>
          </w:p>
        </w:tc>
        <w:tc>
          <w:tcPr>
            <w:tcW w:type="dxa" w:w="187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FR-PLT-032، 033، 034</w:t>
            </w:r>
          </w:p>
        </w:tc>
        <w:tc>
          <w:tcPr>
            <w:tcW w:type="dxa" w:w="136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S0</w:t>
            </w:r>
          </w:p>
        </w:tc>
        <w:tc>
          <w:tcPr>
            <w:tcW w:type="dxa" w:w="187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التوطين والتقويم والتنسيق</w:t>
            </w:r>
          </w:p>
        </w:tc>
        <w:tc>
          <w:tcPr>
            <w:tcW w:type="dxa" w:w="221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واجهة؛ API</w:t>
            </w:r>
          </w:p>
        </w:tc>
        <w:tc>
          <w:tcPr>
            <w:tcW w:type="dxa" w:w="102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§3.1</w:t>
            </w:r>
          </w:p>
        </w:tc>
      </w:tr>
      <w:tr>
        <w:trPr>
          <w:cantSplit/>
        </w:trPr>
        <w:tc>
          <w:tcPr>
            <w:tcW w:type="dxa" w:w="153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AC-PLT-17</w:t>
            </w:r>
          </w:p>
        </w:tc>
        <w:tc>
          <w:tcPr>
            <w:tcW w:type="dxa" w:w="187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FR-PLT-037</w:t>
            </w:r>
          </w:p>
        </w:tc>
        <w:tc>
          <w:tcPr>
            <w:tcW w:type="dxa" w:w="136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S0</w:t>
            </w:r>
          </w:p>
        </w:tc>
        <w:tc>
          <w:tcPr>
            <w:tcW w:type="dxa" w:w="187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مفاتيح التشفير وتدويرها</w:t>
            </w:r>
          </w:p>
        </w:tc>
        <w:tc>
          <w:tcPr>
            <w:tcW w:type="dxa" w:w="221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API؛ يدوي للاستعادة</w:t>
            </w:r>
          </w:p>
        </w:tc>
        <w:tc>
          <w:tcPr>
            <w:tcW w:type="dxa" w:w="102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§3.1</w:t>
            </w:r>
          </w:p>
        </w:tc>
      </w:tr>
      <w:tr>
        <w:trPr>
          <w:cantSplit/>
        </w:trPr>
        <w:tc>
          <w:tcPr>
            <w:tcW w:type="dxa" w:w="153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AC-PLT-18</w:t>
            </w:r>
          </w:p>
        </w:tc>
        <w:tc>
          <w:tcPr>
            <w:tcW w:type="dxa" w:w="187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FR-PLT-041</w:t>
            </w:r>
          </w:p>
        </w:tc>
        <w:tc>
          <w:tcPr>
            <w:tcW w:type="dxa" w:w="136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S0</w:t>
            </w:r>
          </w:p>
        </w:tc>
        <w:tc>
          <w:tcPr>
            <w:tcW w:type="dxa" w:w="187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الواجهة البرمجية أولًا</w:t>
            </w:r>
          </w:p>
        </w:tc>
        <w:tc>
          <w:tcPr>
            <w:tcW w:type="dxa" w:w="221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CI؛ واجهة</w:t>
            </w:r>
          </w:p>
        </w:tc>
        <w:tc>
          <w:tcPr>
            <w:tcW w:type="dxa" w:w="102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§3.1</w:t>
            </w:r>
          </w:p>
        </w:tc>
      </w:tr>
      <w:tr>
        <w:trPr>
          <w:cantSplit/>
        </w:trPr>
        <w:tc>
          <w:tcPr>
            <w:tcW w:type="dxa" w:w="153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AC-PLT-19</w:t>
            </w:r>
          </w:p>
        </w:tc>
        <w:tc>
          <w:tcPr>
            <w:tcW w:type="dxa" w:w="187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FR-PLT-043</w:t>
            </w:r>
          </w:p>
        </w:tc>
        <w:tc>
          <w:tcPr>
            <w:tcW w:type="dxa" w:w="136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S0</w:t>
            </w:r>
          </w:p>
        </w:tc>
        <w:tc>
          <w:tcPr>
            <w:tcW w:type="dxa" w:w="187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إعدادات المشترك وحدودها</w:t>
            </w:r>
          </w:p>
        </w:tc>
        <w:tc>
          <w:tcPr>
            <w:tcW w:type="dxa" w:w="221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API</w:t>
            </w:r>
          </w:p>
        </w:tc>
        <w:tc>
          <w:tcPr>
            <w:tcW w:type="dxa" w:w="102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§3.1</w:t>
            </w:r>
          </w:p>
        </w:tc>
      </w:tr>
      <w:tr>
        <w:trPr>
          <w:cantSplit/>
        </w:trPr>
        <w:tc>
          <w:tcPr>
            <w:tcW w:type="dxa" w:w="153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AC-PLT-20</w:t>
            </w:r>
          </w:p>
        </w:tc>
        <w:tc>
          <w:tcPr>
            <w:tcW w:type="dxa" w:w="187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FR-PLT-044، FR-NTF-016</w:t>
            </w:r>
          </w:p>
        </w:tc>
        <w:tc>
          <w:tcPr>
            <w:tcW w:type="dxa" w:w="136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S0 وS1</w:t>
            </w:r>
          </w:p>
        </w:tc>
        <w:tc>
          <w:tcPr>
            <w:tcW w:type="dxa" w:w="187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المهام الخلفية</w:t>
            </w:r>
          </w:p>
        </w:tc>
        <w:tc>
          <w:tcPr>
            <w:tcW w:type="dxa" w:w="221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API</w:t>
            </w:r>
          </w:p>
        </w:tc>
        <w:tc>
          <w:tcPr>
            <w:tcW w:type="dxa" w:w="102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§3.1</w:t>
            </w:r>
          </w:p>
        </w:tc>
      </w:tr>
      <w:tr>
        <w:trPr>
          <w:cantSplit/>
        </w:trPr>
        <w:tc>
          <w:tcPr>
            <w:tcW w:type="dxa" w:w="153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AC-PLT-21</w:t>
            </w:r>
          </w:p>
        </w:tc>
        <w:tc>
          <w:tcPr>
            <w:tcW w:type="dxa" w:w="187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FR-PLT-046</w:t>
            </w:r>
          </w:p>
        </w:tc>
        <w:tc>
          <w:tcPr>
            <w:tcW w:type="dxa" w:w="136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S0</w:t>
            </w:r>
          </w:p>
        </w:tc>
        <w:tc>
          <w:tcPr>
            <w:tcW w:type="dxa" w:w="187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العنوان الفرعي وسياق المشترك</w:t>
            </w:r>
          </w:p>
        </w:tc>
        <w:tc>
          <w:tcPr>
            <w:tcW w:type="dxa" w:w="221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قاعدة T18؛ API</w:t>
            </w:r>
          </w:p>
        </w:tc>
        <w:tc>
          <w:tcPr>
            <w:tcW w:type="dxa" w:w="102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§3.1</w:t>
            </w:r>
          </w:p>
        </w:tc>
      </w:tr>
      <w:tr>
        <w:trPr>
          <w:cantSplit/>
        </w:trPr>
        <w:tc>
          <w:tcPr>
            <w:tcW w:type="dxa" w:w="153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AC-PLT-22</w:t>
            </w:r>
          </w:p>
        </w:tc>
        <w:tc>
          <w:tcPr>
            <w:tcW w:type="dxa" w:w="187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FR-PLT-042</w:t>
            </w:r>
          </w:p>
        </w:tc>
        <w:tc>
          <w:tcPr>
            <w:tcW w:type="dxa" w:w="136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S1</w:t>
            </w:r>
          </w:p>
        </w:tc>
        <w:tc>
          <w:tcPr>
            <w:tcW w:type="dxa" w:w="187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طابور الأحداث في معاملة الحفظ</w:t>
            </w:r>
          </w:p>
        </w:tc>
        <w:tc>
          <w:tcPr>
            <w:tcW w:type="dxa" w:w="221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API</w:t>
            </w:r>
          </w:p>
        </w:tc>
        <w:tc>
          <w:tcPr>
            <w:tcW w:type="dxa" w:w="102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§3.1</w:t>
            </w:r>
          </w:p>
        </w:tc>
      </w:tr>
      <w:tr>
        <w:trPr>
          <w:cantSplit/>
        </w:trPr>
        <w:tc>
          <w:tcPr>
            <w:tcW w:type="dxa" w:w="153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AC-ORG-4</w:t>
            </w:r>
          </w:p>
        </w:tc>
        <w:tc>
          <w:tcPr>
            <w:tcW w:type="dxa" w:w="187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FR-ORG-001 إلى 004، 008، FR-PTY-003</w:t>
            </w:r>
          </w:p>
        </w:tc>
        <w:tc>
          <w:tcPr>
            <w:tcW w:type="dxa" w:w="136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S1</w:t>
            </w:r>
          </w:p>
        </w:tc>
        <w:tc>
          <w:tcPr>
            <w:tcW w:type="dxa" w:w="187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الشركة وهرمها ومرآتها</w:t>
            </w:r>
          </w:p>
        </w:tc>
        <w:tc>
          <w:tcPr>
            <w:tcW w:type="dxa" w:w="221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API</w:t>
            </w:r>
          </w:p>
        </w:tc>
        <w:tc>
          <w:tcPr>
            <w:tcW w:type="dxa" w:w="102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§3.2</w:t>
            </w:r>
          </w:p>
        </w:tc>
      </w:tr>
      <w:tr>
        <w:trPr>
          <w:cantSplit/>
        </w:trPr>
        <w:tc>
          <w:tcPr>
            <w:tcW w:type="dxa" w:w="153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AC-ORG-5</w:t>
            </w:r>
          </w:p>
        </w:tc>
        <w:tc>
          <w:tcPr>
            <w:tcW w:type="dxa" w:w="187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FR-ORG-006، 007</w:t>
            </w:r>
          </w:p>
        </w:tc>
        <w:tc>
          <w:tcPr>
            <w:tcW w:type="dxa" w:w="136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S1</w:t>
            </w:r>
          </w:p>
        </w:tc>
        <w:tc>
          <w:tcPr>
            <w:tcW w:type="dxa" w:w="187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السنة المالية والضريبة</w:t>
            </w:r>
          </w:p>
        </w:tc>
        <w:tc>
          <w:tcPr>
            <w:tcW w:type="dxa" w:w="221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API</w:t>
            </w:r>
          </w:p>
        </w:tc>
        <w:tc>
          <w:tcPr>
            <w:tcW w:type="dxa" w:w="102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§3.2</w:t>
            </w:r>
          </w:p>
        </w:tc>
      </w:tr>
      <w:tr>
        <w:trPr>
          <w:cantSplit/>
        </w:trPr>
        <w:tc>
          <w:tcPr>
            <w:tcW w:type="dxa" w:w="153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AC-ORG-6</w:t>
            </w:r>
          </w:p>
        </w:tc>
        <w:tc>
          <w:tcPr>
            <w:tcW w:type="dxa" w:w="187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FR-ORG-011، 012، 013، FR-PLT-038</w:t>
            </w:r>
          </w:p>
        </w:tc>
        <w:tc>
          <w:tcPr>
            <w:tcW w:type="dxa" w:w="136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S1</w:t>
            </w:r>
          </w:p>
        </w:tc>
        <w:tc>
          <w:tcPr>
            <w:tcW w:type="dxa" w:w="187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شركة بمستنداتها وتنبيه انتهائها (خروج S1)</w:t>
            </w:r>
          </w:p>
        </w:tc>
        <w:tc>
          <w:tcPr>
            <w:tcW w:type="dxa" w:w="221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API؛ واجهة</w:t>
            </w:r>
          </w:p>
        </w:tc>
        <w:tc>
          <w:tcPr>
            <w:tcW w:type="dxa" w:w="102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§3.2</w:t>
            </w:r>
          </w:p>
        </w:tc>
      </w:tr>
      <w:tr>
        <w:trPr>
          <w:cantSplit/>
        </w:trPr>
        <w:tc>
          <w:tcPr>
            <w:tcW w:type="dxa" w:w="153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AC-ORG-7</w:t>
            </w:r>
          </w:p>
        </w:tc>
        <w:tc>
          <w:tcPr>
            <w:tcW w:type="dxa" w:w="187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FR-ORG-009، 010</w:t>
            </w:r>
          </w:p>
        </w:tc>
        <w:tc>
          <w:tcPr>
            <w:tcW w:type="dxa" w:w="136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S1</w:t>
            </w:r>
          </w:p>
        </w:tc>
        <w:tc>
          <w:tcPr>
            <w:tcW w:type="dxa" w:w="187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عنوان الشركة وأرشفتها</w:t>
            </w:r>
          </w:p>
        </w:tc>
        <w:tc>
          <w:tcPr>
            <w:tcW w:type="dxa" w:w="221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API</w:t>
            </w:r>
          </w:p>
        </w:tc>
        <w:tc>
          <w:tcPr>
            <w:tcW w:type="dxa" w:w="102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§3.2</w:t>
            </w:r>
          </w:p>
        </w:tc>
      </w:tr>
      <w:tr>
        <w:trPr>
          <w:cantSplit/>
        </w:trPr>
        <w:tc>
          <w:tcPr>
            <w:tcW w:type="dxa" w:w="153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AC-ORG-8</w:t>
            </w:r>
          </w:p>
        </w:tc>
        <w:tc>
          <w:tcPr>
            <w:tcW w:type="dxa" w:w="187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FR-ORG-014</w:t>
            </w:r>
          </w:p>
        </w:tc>
        <w:tc>
          <w:tcPr>
            <w:tcW w:type="dxa" w:w="136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S1</w:t>
            </w:r>
          </w:p>
        </w:tc>
        <w:tc>
          <w:tcPr>
            <w:tcW w:type="dxa" w:w="187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الإدارات</w:t>
            </w:r>
          </w:p>
        </w:tc>
        <w:tc>
          <w:tcPr>
            <w:tcW w:type="dxa" w:w="221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API</w:t>
            </w:r>
          </w:p>
        </w:tc>
        <w:tc>
          <w:tcPr>
            <w:tcW w:type="dxa" w:w="102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§3.2</w:t>
            </w:r>
          </w:p>
        </w:tc>
      </w:tr>
      <w:tr>
        <w:trPr>
          <w:cantSplit/>
        </w:trPr>
        <w:tc>
          <w:tcPr>
            <w:tcW w:type="dxa" w:w="153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AC-PTY-4</w:t>
            </w:r>
          </w:p>
        </w:tc>
        <w:tc>
          <w:tcPr>
            <w:tcW w:type="dxa" w:w="187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FR-PTY-001، 002، 004، 005</w:t>
            </w:r>
          </w:p>
        </w:tc>
        <w:tc>
          <w:tcPr>
            <w:tcW w:type="dxa" w:w="136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S1</w:t>
            </w:r>
          </w:p>
        </w:tc>
        <w:tc>
          <w:tcPr>
            <w:tcW w:type="dxa" w:w="187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الشخص ووثيقته الأساسية والبحث</w:t>
            </w:r>
          </w:p>
        </w:tc>
        <w:tc>
          <w:tcPr>
            <w:tcW w:type="dxa" w:w="221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API</w:t>
            </w:r>
          </w:p>
        </w:tc>
        <w:tc>
          <w:tcPr>
            <w:tcW w:type="dxa" w:w="102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§3.3</w:t>
            </w:r>
          </w:p>
        </w:tc>
      </w:tr>
      <w:tr>
        <w:trPr>
          <w:cantSplit/>
        </w:trPr>
        <w:tc>
          <w:tcPr>
            <w:tcW w:type="dxa" w:w="153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AC-PTY-5</w:t>
            </w:r>
          </w:p>
        </w:tc>
        <w:tc>
          <w:tcPr>
            <w:tcW w:type="dxa" w:w="187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FR-PTY-006، 009</w:t>
            </w:r>
          </w:p>
        </w:tc>
        <w:tc>
          <w:tcPr>
            <w:tcW w:type="dxa" w:w="136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S1</w:t>
            </w:r>
          </w:p>
        </w:tc>
        <w:tc>
          <w:tcPr>
            <w:tcW w:type="dxa" w:w="187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تشفير الأرقام والصور</w:t>
            </w:r>
          </w:p>
        </w:tc>
        <w:tc>
          <w:tcPr>
            <w:tcW w:type="dxa" w:w="221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قاعدة T21؛ API</w:t>
            </w:r>
          </w:p>
        </w:tc>
        <w:tc>
          <w:tcPr>
            <w:tcW w:type="dxa" w:w="102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§3.3</w:t>
            </w:r>
          </w:p>
        </w:tc>
      </w:tr>
      <w:tr>
        <w:trPr>
          <w:cantSplit/>
        </w:trPr>
        <w:tc>
          <w:tcPr>
            <w:tcW w:type="dxa" w:w="153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AC-PTY-6</w:t>
            </w:r>
          </w:p>
        </w:tc>
        <w:tc>
          <w:tcPr>
            <w:tcW w:type="dxa" w:w="187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FR-PTY-010، 011، 012</w:t>
            </w:r>
          </w:p>
        </w:tc>
        <w:tc>
          <w:tcPr>
            <w:tcW w:type="dxa" w:w="136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S1</w:t>
            </w:r>
          </w:p>
        </w:tc>
        <w:tc>
          <w:tcPr>
            <w:tcW w:type="dxa" w:w="187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تحقق الشكل والعناوين والاتصال</w:t>
            </w:r>
          </w:p>
        </w:tc>
        <w:tc>
          <w:tcPr>
            <w:tcW w:type="dxa" w:w="221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API</w:t>
            </w:r>
          </w:p>
        </w:tc>
        <w:tc>
          <w:tcPr>
            <w:tcW w:type="dxa" w:w="102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§3.3</w:t>
            </w:r>
          </w:p>
        </w:tc>
      </w:tr>
      <w:tr>
        <w:trPr>
          <w:cantSplit/>
        </w:trPr>
        <w:tc>
          <w:tcPr>
            <w:tcW w:type="dxa" w:w="153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AC-PTY-7</w:t>
            </w:r>
          </w:p>
        </w:tc>
        <w:tc>
          <w:tcPr>
            <w:tcW w:type="dxa" w:w="187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FR-PTY-013، 014</w:t>
            </w:r>
          </w:p>
        </w:tc>
        <w:tc>
          <w:tcPr>
            <w:tcW w:type="dxa" w:w="136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S1</w:t>
            </w:r>
          </w:p>
        </w:tc>
        <w:tc>
          <w:tcPr>
            <w:tcW w:type="dxa" w:w="187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الحقول المخصصة</w:t>
            </w:r>
          </w:p>
        </w:tc>
        <w:tc>
          <w:tcPr>
            <w:tcW w:type="dxa" w:w="221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API</w:t>
            </w:r>
          </w:p>
        </w:tc>
        <w:tc>
          <w:tcPr>
            <w:tcW w:type="dxa" w:w="102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§3.3</w:t>
            </w:r>
          </w:p>
        </w:tc>
      </w:tr>
      <w:tr>
        <w:trPr>
          <w:cantSplit/>
        </w:trPr>
        <w:tc>
          <w:tcPr>
            <w:tcW w:type="dxa" w:w="153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AC-PTY-8</w:t>
            </w:r>
          </w:p>
        </w:tc>
        <w:tc>
          <w:tcPr>
            <w:tcW w:type="dxa" w:w="187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FR-PTY-017، 018، 019، 028</w:t>
            </w:r>
          </w:p>
        </w:tc>
        <w:tc>
          <w:tcPr>
            <w:tcW w:type="dxa" w:w="136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S1</w:t>
            </w:r>
          </w:p>
        </w:tc>
        <w:tc>
          <w:tcPr>
            <w:tcW w:type="dxa" w:w="187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الأدوار المشتقة والرؤية والتعطيل</w:t>
            </w:r>
          </w:p>
        </w:tc>
        <w:tc>
          <w:tcPr>
            <w:tcW w:type="dxa" w:w="221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API</w:t>
            </w:r>
          </w:p>
        </w:tc>
        <w:tc>
          <w:tcPr>
            <w:tcW w:type="dxa" w:w="102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§3.3</w:t>
            </w:r>
          </w:p>
        </w:tc>
      </w:tr>
      <w:tr>
        <w:trPr>
          <w:cantSplit/>
        </w:trPr>
        <w:tc>
          <w:tcPr>
            <w:tcW w:type="dxa" w:w="153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AC-PTY-9</w:t>
            </w:r>
          </w:p>
        </w:tc>
        <w:tc>
          <w:tcPr>
            <w:tcW w:type="dxa" w:w="187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FR-PTY-020، 022</w:t>
            </w:r>
          </w:p>
        </w:tc>
        <w:tc>
          <w:tcPr>
            <w:tcW w:type="dxa" w:w="136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S1</w:t>
            </w:r>
          </w:p>
        </w:tc>
        <w:tc>
          <w:tcPr>
            <w:tcW w:type="dxa" w:w="187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تحقق الأصل وتجديد الوثيقة</w:t>
            </w:r>
          </w:p>
        </w:tc>
        <w:tc>
          <w:tcPr>
            <w:tcW w:type="dxa" w:w="221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API</w:t>
            </w:r>
          </w:p>
        </w:tc>
        <w:tc>
          <w:tcPr>
            <w:tcW w:type="dxa" w:w="102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§3.3</w:t>
            </w:r>
          </w:p>
        </w:tc>
      </w:tr>
      <w:tr>
        <w:trPr>
          <w:cantSplit/>
        </w:trPr>
        <w:tc>
          <w:tcPr>
            <w:tcW w:type="dxa" w:w="153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AC-INS-4</w:t>
            </w:r>
          </w:p>
        </w:tc>
        <w:tc>
          <w:tcPr>
            <w:tcW w:type="dxa" w:w="187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FR-INS-001 إلى 004</w:t>
            </w:r>
          </w:p>
        </w:tc>
        <w:tc>
          <w:tcPr>
            <w:tcW w:type="dxa" w:w="136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S1</w:t>
            </w:r>
          </w:p>
        </w:tc>
        <w:tc>
          <w:tcPr>
            <w:tcW w:type="dxa" w:w="187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أنواع المنشآت وتعريفها</w:t>
            </w:r>
          </w:p>
        </w:tc>
        <w:tc>
          <w:tcPr>
            <w:tcW w:type="dxa" w:w="221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API</w:t>
            </w:r>
          </w:p>
        </w:tc>
        <w:tc>
          <w:tcPr>
            <w:tcW w:type="dxa" w:w="102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§3.4</w:t>
            </w:r>
          </w:p>
        </w:tc>
      </w:tr>
      <w:tr>
        <w:trPr>
          <w:cantSplit/>
        </w:trPr>
        <w:tc>
          <w:tcPr>
            <w:tcW w:type="dxa" w:w="153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AC-INS-5</w:t>
            </w:r>
          </w:p>
        </w:tc>
        <w:tc>
          <w:tcPr>
            <w:tcW w:type="dxa" w:w="187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FR-INS-005، 006</w:t>
            </w:r>
          </w:p>
        </w:tc>
        <w:tc>
          <w:tcPr>
            <w:tcW w:type="dxa" w:w="136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S1</w:t>
            </w:r>
          </w:p>
        </w:tc>
        <w:tc>
          <w:tcPr>
            <w:tcW w:type="dxa" w:w="187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هيكل المنشأة وبيانات الوحدة</w:t>
            </w:r>
          </w:p>
        </w:tc>
        <w:tc>
          <w:tcPr>
            <w:tcW w:type="dxa" w:w="221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API</w:t>
            </w:r>
          </w:p>
        </w:tc>
        <w:tc>
          <w:tcPr>
            <w:tcW w:type="dxa" w:w="102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§3.4</w:t>
            </w:r>
          </w:p>
        </w:tc>
      </w:tr>
      <w:tr>
        <w:trPr>
          <w:cantSplit/>
        </w:trPr>
        <w:tc>
          <w:tcPr>
            <w:tcW w:type="dxa" w:w="153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AC-INS-6</w:t>
            </w:r>
          </w:p>
        </w:tc>
        <w:tc>
          <w:tcPr>
            <w:tcW w:type="dxa" w:w="187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FR-INS-009 إلى 013</w:t>
            </w:r>
          </w:p>
        </w:tc>
        <w:tc>
          <w:tcPr>
            <w:tcW w:type="dxa" w:w="136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S1</w:t>
            </w:r>
          </w:p>
        </w:tc>
        <w:tc>
          <w:tcPr>
            <w:tcW w:type="dxa" w:w="187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العلاقة والتغطية والمنتجات والقناة</w:t>
            </w:r>
          </w:p>
        </w:tc>
        <w:tc>
          <w:tcPr>
            <w:tcW w:type="dxa" w:w="221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API</w:t>
            </w:r>
          </w:p>
        </w:tc>
        <w:tc>
          <w:tcPr>
            <w:tcW w:type="dxa" w:w="102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§3.4</w:t>
            </w:r>
          </w:p>
        </w:tc>
      </w:tr>
      <w:tr>
        <w:trPr>
          <w:cantSplit/>
        </w:trPr>
        <w:tc>
          <w:tcPr>
            <w:tcW w:type="dxa" w:w="153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AC-INS-7</w:t>
            </w:r>
          </w:p>
        </w:tc>
        <w:tc>
          <w:tcPr>
            <w:tcW w:type="dxa" w:w="187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FR-INS-015، 016</w:t>
            </w:r>
          </w:p>
        </w:tc>
        <w:tc>
          <w:tcPr>
            <w:tcW w:type="dxa" w:w="136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S1</w:t>
            </w:r>
          </w:p>
        </w:tc>
        <w:tc>
          <w:tcPr>
            <w:tcW w:type="dxa" w:w="187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الإغلاق ومسودة المعالج</w:t>
            </w:r>
          </w:p>
        </w:tc>
        <w:tc>
          <w:tcPr>
            <w:tcW w:type="dxa" w:w="221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API؛ واجهة</w:t>
            </w:r>
          </w:p>
        </w:tc>
        <w:tc>
          <w:tcPr>
            <w:tcW w:type="dxa" w:w="102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§3.4</w:t>
            </w:r>
          </w:p>
        </w:tc>
      </w:tr>
      <w:tr>
        <w:trPr>
          <w:cantSplit/>
        </w:trPr>
        <w:tc>
          <w:tcPr>
            <w:tcW w:type="dxa" w:w="153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AC-INS-8</w:t>
            </w:r>
          </w:p>
        </w:tc>
        <w:tc>
          <w:tcPr>
            <w:tcW w:type="dxa" w:w="187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FR-INS-017 إلى 020</w:t>
            </w:r>
          </w:p>
        </w:tc>
        <w:tc>
          <w:tcPr>
            <w:tcW w:type="dxa" w:w="136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S1</w:t>
            </w:r>
          </w:p>
        </w:tc>
        <w:tc>
          <w:tcPr>
            <w:tcW w:type="dxa" w:w="187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التصعيد والجودة والبحث</w:t>
            </w:r>
          </w:p>
        </w:tc>
        <w:tc>
          <w:tcPr>
            <w:tcW w:type="dxa" w:w="221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API؛ أداء</w:t>
            </w:r>
          </w:p>
        </w:tc>
        <w:tc>
          <w:tcPr>
            <w:tcW w:type="dxa" w:w="102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§3.4</w:t>
            </w:r>
          </w:p>
        </w:tc>
      </w:tr>
      <w:tr>
        <w:trPr>
          <w:cantSplit/>
        </w:trPr>
        <w:tc>
          <w:tcPr>
            <w:tcW w:type="dxa" w:w="153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AC-ACC-5</w:t>
            </w:r>
          </w:p>
        </w:tc>
        <w:tc>
          <w:tcPr>
            <w:tcW w:type="dxa" w:w="187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FR-ACC-001، 003، 007، 008</w:t>
            </w:r>
          </w:p>
        </w:tc>
        <w:tc>
          <w:tcPr>
            <w:tcW w:type="dxa" w:w="136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S1</w:t>
            </w:r>
          </w:p>
        </w:tc>
        <w:tc>
          <w:tcPr>
            <w:tcW w:type="dxa" w:w="187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أنواع الحسابات والعلاقة والتوقيع والحالات</w:t>
            </w:r>
          </w:p>
        </w:tc>
        <w:tc>
          <w:tcPr>
            <w:tcW w:type="dxa" w:w="221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API</w:t>
            </w:r>
          </w:p>
        </w:tc>
        <w:tc>
          <w:tcPr>
            <w:tcW w:type="dxa" w:w="102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§3.5</w:t>
            </w:r>
          </w:p>
        </w:tc>
      </w:tr>
      <w:tr>
        <w:trPr>
          <w:cantSplit/>
        </w:trPr>
        <w:tc>
          <w:tcPr>
            <w:tcW w:type="dxa" w:w="153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AC-ACC-6</w:t>
            </w:r>
          </w:p>
        </w:tc>
        <w:tc>
          <w:tcPr>
            <w:tcW w:type="dxa" w:w="187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FR-ACC-022</w:t>
            </w:r>
          </w:p>
        </w:tc>
        <w:tc>
          <w:tcPr>
            <w:tcW w:type="dxa" w:w="136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S1، ويُنفَّذ بعد S1-ب</w:t>
            </w:r>
          </w:p>
        </w:tc>
        <w:tc>
          <w:tcPr>
            <w:tcW w:type="dxa" w:w="187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صورة نموذج التوقيع</w:t>
            </w:r>
          </w:p>
        </w:tc>
        <w:tc>
          <w:tcPr>
            <w:tcW w:type="dxa" w:w="221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يدوي</w:t>
            </w:r>
          </w:p>
        </w:tc>
        <w:tc>
          <w:tcPr>
            <w:tcW w:type="dxa" w:w="102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§3.5</w:t>
            </w:r>
          </w:p>
        </w:tc>
      </w:tr>
      <w:tr>
        <w:trPr>
          <w:cantSplit/>
        </w:trPr>
        <w:tc>
          <w:tcPr>
            <w:tcW w:type="dxa" w:w="153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AC-CAT-4</w:t>
            </w:r>
          </w:p>
        </w:tc>
        <w:tc>
          <w:tcPr>
            <w:tcW w:type="dxa" w:w="187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FR-CAT-001، 005، 025</w:t>
            </w:r>
          </w:p>
        </w:tc>
        <w:tc>
          <w:tcPr>
            <w:tcW w:type="dxa" w:w="136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S1</w:t>
            </w:r>
          </w:p>
        </w:tc>
        <w:tc>
          <w:tcPr>
            <w:tcW w:type="dxa" w:w="187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إطار الكتالوج والتدقيق</w:t>
            </w:r>
          </w:p>
        </w:tc>
        <w:tc>
          <w:tcPr>
            <w:tcW w:type="dxa" w:w="221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API؛ واجهة</w:t>
            </w:r>
          </w:p>
        </w:tc>
        <w:tc>
          <w:tcPr>
            <w:tcW w:type="dxa" w:w="102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§3.6</w:t>
            </w:r>
          </w:p>
        </w:tc>
      </w:tr>
      <w:tr>
        <w:trPr>
          <w:cantSplit/>
        </w:trPr>
        <w:tc>
          <w:tcPr>
            <w:tcW w:type="dxa" w:w="153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AC-CAT-5</w:t>
            </w:r>
          </w:p>
        </w:tc>
        <w:tc>
          <w:tcPr>
            <w:tcW w:type="dxa" w:w="187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FR-CAT-007 إلى 010، 022</w:t>
            </w:r>
          </w:p>
        </w:tc>
        <w:tc>
          <w:tcPr>
            <w:tcW w:type="dxa" w:w="136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S1</w:t>
            </w:r>
          </w:p>
        </w:tc>
        <w:tc>
          <w:tcPr>
            <w:tcW w:type="dxa" w:w="187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المنتجات والمصاريف والتمويل</w:t>
            </w:r>
          </w:p>
        </w:tc>
        <w:tc>
          <w:tcPr>
            <w:tcW w:type="dxa" w:w="221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API</w:t>
            </w:r>
          </w:p>
        </w:tc>
        <w:tc>
          <w:tcPr>
            <w:tcW w:type="dxa" w:w="102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§3.6</w:t>
            </w:r>
          </w:p>
        </w:tc>
      </w:tr>
      <w:tr>
        <w:trPr>
          <w:cantSplit/>
        </w:trPr>
        <w:tc>
          <w:tcPr>
            <w:tcW w:type="dxa" w:w="153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AC-CAT-6</w:t>
            </w:r>
          </w:p>
        </w:tc>
        <w:tc>
          <w:tcPr>
            <w:tcW w:type="dxa" w:w="187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FR-CAT-011 إلى 014</w:t>
            </w:r>
          </w:p>
        </w:tc>
        <w:tc>
          <w:tcPr>
            <w:tcW w:type="dxa" w:w="136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S1</w:t>
            </w:r>
          </w:p>
        </w:tc>
        <w:tc>
          <w:tcPr>
            <w:tcW w:type="dxa" w:w="187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كتالوجات التسهيلات والضمانات والالتزامات</w:t>
            </w:r>
          </w:p>
        </w:tc>
        <w:tc>
          <w:tcPr>
            <w:tcW w:type="dxa" w:w="221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API</w:t>
            </w:r>
          </w:p>
        </w:tc>
        <w:tc>
          <w:tcPr>
            <w:tcW w:type="dxa" w:w="102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§3.6</w:t>
            </w:r>
          </w:p>
        </w:tc>
      </w:tr>
      <w:tr>
        <w:trPr>
          <w:cantSplit/>
        </w:trPr>
        <w:tc>
          <w:tcPr>
            <w:tcW w:type="dxa" w:w="153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AC-CAT-7</w:t>
            </w:r>
          </w:p>
        </w:tc>
        <w:tc>
          <w:tcPr>
            <w:tcW w:type="dxa" w:w="187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FR-CAT-020، 021، 023</w:t>
            </w:r>
          </w:p>
        </w:tc>
        <w:tc>
          <w:tcPr>
            <w:tcW w:type="dxa" w:w="136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S1</w:t>
            </w:r>
          </w:p>
        </w:tc>
        <w:tc>
          <w:tcPr>
            <w:tcW w:type="dxa" w:w="187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القوائم والمرجع العالمي والعملات</w:t>
            </w:r>
          </w:p>
        </w:tc>
        <w:tc>
          <w:tcPr>
            <w:tcW w:type="dxa" w:w="221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API؛ حالة قاعدة مقترحة</w:t>
            </w:r>
          </w:p>
        </w:tc>
        <w:tc>
          <w:tcPr>
            <w:tcW w:type="dxa" w:w="102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§3.6</w:t>
            </w:r>
          </w:p>
        </w:tc>
      </w:tr>
      <w:tr>
        <w:trPr>
          <w:cantSplit/>
        </w:trPr>
        <w:tc>
          <w:tcPr>
            <w:tcW w:type="dxa" w:w="153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AC-NTF-1</w:t>
            </w:r>
          </w:p>
        </w:tc>
        <w:tc>
          <w:tcPr>
            <w:tcW w:type="dxa" w:w="187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FR-NTF-002، 012، 021</w:t>
            </w:r>
          </w:p>
        </w:tc>
        <w:tc>
          <w:tcPr>
            <w:tcW w:type="dxa" w:w="136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S1</w:t>
            </w:r>
          </w:p>
        </w:tc>
        <w:tc>
          <w:tcPr>
            <w:tcW w:type="dxa" w:w="187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واجهة الإصدار وحماية المحتوى</w:t>
            </w:r>
          </w:p>
        </w:tc>
        <w:tc>
          <w:tcPr>
            <w:tcW w:type="dxa" w:w="221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API؛ CI</w:t>
            </w:r>
          </w:p>
        </w:tc>
        <w:tc>
          <w:tcPr>
            <w:tcW w:type="dxa" w:w="102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§3.7</w:t>
            </w:r>
          </w:p>
        </w:tc>
      </w:tr>
      <w:tr>
        <w:trPr>
          <w:cantSplit/>
        </w:trPr>
        <w:tc>
          <w:tcPr>
            <w:tcW w:type="dxa" w:w="153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AC-NTF-2</w:t>
            </w:r>
          </w:p>
        </w:tc>
        <w:tc>
          <w:tcPr>
            <w:tcW w:type="dxa" w:w="187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FR-NTF-003، 005، 006، 010</w:t>
            </w:r>
          </w:p>
        </w:tc>
        <w:tc>
          <w:tcPr>
            <w:tcW w:type="dxa" w:w="136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S1</w:t>
            </w:r>
          </w:p>
        </w:tc>
        <w:tc>
          <w:tcPr>
            <w:tcW w:type="dxa" w:w="187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المستلمون والجرس والقراءة</w:t>
            </w:r>
          </w:p>
        </w:tc>
        <w:tc>
          <w:tcPr>
            <w:tcW w:type="dxa" w:w="221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API؛ واجهة</w:t>
            </w:r>
          </w:p>
        </w:tc>
        <w:tc>
          <w:tcPr>
            <w:tcW w:type="dxa" w:w="102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§3.7</w:t>
            </w:r>
          </w:p>
        </w:tc>
      </w:tr>
      <w:tr>
        <w:trPr>
          <w:cantSplit/>
        </w:trPr>
        <w:tc>
          <w:tcPr>
            <w:tcW w:type="dxa" w:w="153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AC-NTF-3</w:t>
            </w:r>
          </w:p>
        </w:tc>
        <w:tc>
          <w:tcPr>
            <w:tcW w:type="dxa" w:w="187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FR-NTF-018، 019، 022</w:t>
            </w:r>
          </w:p>
        </w:tc>
        <w:tc>
          <w:tcPr>
            <w:tcW w:type="dxa" w:w="136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S1</w:t>
            </w:r>
          </w:p>
        </w:tc>
        <w:tc>
          <w:tcPr>
            <w:tcW w:type="dxa" w:w="187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الأحداث الأمنية والتسليم والمحوّلات</w:t>
            </w:r>
          </w:p>
        </w:tc>
        <w:tc>
          <w:tcPr>
            <w:tcW w:type="dxa" w:w="221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API</w:t>
            </w:r>
          </w:p>
        </w:tc>
        <w:tc>
          <w:tcPr>
            <w:tcW w:type="dxa" w:w="102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§3.7</w:t>
            </w:r>
          </w:p>
        </w:tc>
      </w:tr>
      <w:tr>
        <w:trPr>
          <w:cantSplit/>
        </w:trPr>
        <w:tc>
          <w:tcPr>
            <w:tcW w:type="dxa" w:w="153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AC-NTF-4</w:t>
            </w:r>
          </w:p>
        </w:tc>
        <w:tc>
          <w:tcPr>
            <w:tcW w:type="dxa" w:w="187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FR-NTF-024، FR-PLT-034</w:t>
            </w:r>
          </w:p>
        </w:tc>
        <w:tc>
          <w:tcPr>
            <w:tcW w:type="dxa" w:w="136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S1</w:t>
            </w:r>
          </w:p>
        </w:tc>
        <w:tc>
          <w:tcPr>
            <w:tcW w:type="dxa" w:w="187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لغة الإشعار</w:t>
            </w:r>
          </w:p>
        </w:tc>
        <w:tc>
          <w:tcPr>
            <w:tcW w:type="dxa" w:w="221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API</w:t>
            </w:r>
          </w:p>
        </w:tc>
        <w:tc>
          <w:tcPr>
            <w:tcW w:type="dxa" w:w="102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§3.7</w:t>
            </w:r>
          </w:p>
        </w:tc>
      </w:tr>
    </w:tbl>
    <w:p>
      <w:pPr>
        <w:bidi/>
        <w:spacing w:after="120" w:before="0"/>
      </w:pPr>
    </w:p>
    <w:p>
      <w:pPr>
        <w:pStyle w:val="Heading1"/>
        <w:bidi/>
      </w:pPr>
      <w:bookmarkStart w:name="_sec5" w:id="5"/>
      <w:r>
        <w:rPr>
          <w:rFonts w:ascii="Arial" w:cs="Arial" w:eastAsia="Arial" w:hAnsi="Arial"/>
          <w:b/>
          <w:bCs/>
          <w:color w:val="1F3A5F"/>
          <w:sz w:val="32"/>
          <w:szCs w:val="32"/>
          <w:rtl/>
        </w:rPr>
        <w:t xml:space="preserve">3. نصوص السيناريوهات الجديدة</w:t>
      </w:r>
      <w:bookmarkEnd w:id="5"/>
    </w:p>
    <w:p>
      <w:pPr>
        <w:bidi/>
        <w:spacing w:after="110" w:before="0" w:line="312"/>
      </w:pPr>
      <w:r>
        <w:rPr>
          <w:rFonts w:ascii="Arial" w:cs="Arial" w:eastAsia="Arial" w:hAnsi="Arial"/>
          <w:b w:val="false"/>
          <w:bCs w:val="false"/>
          <w:sz w:val="21"/>
          <w:szCs w:val="21"/>
          <w:rtl/>
        </w:rPr>
        <w:t xml:space="preserve">الأسماء والرموز والأرقام كلها افتراضية. وحيث يذكر السيناريو حالة قاعدة قائمة فهي تثبت الجزء الخاص بالقاعدة، ويبقى جزء الواجهة البرمجية مطلوبًا.</w:t>
      </w:r>
    </w:p>
    <w:p>
      <w:pPr>
        <w:pStyle w:val="Heading2"/>
        <w:bidi/>
      </w:pPr>
      <w:bookmarkStart w:name="_sec6" w:id="6"/>
      <w:r>
        <w:rPr>
          <w:rFonts w:ascii="Arial" w:cs="Arial" w:eastAsia="Arial" w:hAnsi="Arial"/>
          <w:b/>
          <w:bCs/>
          <w:color w:val="2B5C8A"/>
          <w:sz w:val="26"/>
          <w:szCs w:val="26"/>
          <w:rtl/>
        </w:rPr>
        <w:t xml:space="preserve">3.1 المنصة (PLT)</w:t>
      </w:r>
      <w:bookmarkEnd w:id="6"/>
    </w:p>
    <w:p>
      <w:pPr>
        <w:bidi/>
        <w:spacing w:after="110" w:before="0" w:line="312"/>
      </w:pPr>
      <w:r>
        <w:rPr>
          <w:rFonts w:ascii="Arial" w:cs="Arial" w:eastAsia="Arial" w:hAnsi="Arial"/>
          <w:b/>
          <w:bCs/>
          <w:sz w:val="21"/>
          <w:szCs w:val="21"/>
          <w:rtl/>
        </w:rPr>
        <w:t xml:space="preserve">AC-PLT-5 — تأهيل مشترك جديد آليًا (FR-PLT-001، FR-PLT-003، FR-PLT-008، FR-PLT-013؛ خروج S0).</w:t>
      </w:r>
      <w:r>
        <w:rPr>
          <w:rFonts w:ascii="Arial" w:cs="Arial" w:eastAsia="Arial" w:hAnsi="Arial"/>
          <w:b w:val="false"/>
          <w:bCs w:val="false"/>
          <w:sz w:val="21"/>
          <w:szCs w:val="21"/>
          <w:rtl/>
        </w:rPr>
        <w:t xml:space="preserve"> </w:t>
      </w:r>
      <w:r>
        <w:rPr>
          <w:rFonts w:ascii="Arial" w:cs="Arial" w:eastAsia="Arial" w:hAnsi="Arial"/>
          <w:b w:val="false"/>
          <w:bCs w:val="false"/>
          <w:i/>
          <w:iCs/>
          <w:sz w:val="21"/>
          <w:szCs w:val="21"/>
          <w:rtl/>
        </w:rPr>
        <w:t xml:space="preserve">Given</w:t>
      </w:r>
      <w:r>
        <w:rPr>
          <w:rFonts w:ascii="Arial" w:cs="Arial" w:eastAsia="Arial" w:hAnsi="Arial"/>
          <w:b w:val="false"/>
          <w:bCs w:val="false"/>
          <w:sz w:val="21"/>
          <w:szCs w:val="21"/>
          <w:rtl/>
        </w:rPr>
        <w:t xml:space="preserve"> مشغّلًا بدور OPERATOR_ADMIN، وباقة تضم CORE وINSTITUTIONS، وقاعدة منشورة للتو بلا مشتركين. </w:t>
      </w:r>
      <w:r>
        <w:rPr>
          <w:rFonts w:ascii="Arial" w:cs="Arial" w:eastAsia="Arial" w:hAnsi="Arial"/>
          <w:b w:val="false"/>
          <w:bCs w:val="false"/>
          <w:i/>
          <w:iCs/>
          <w:sz w:val="21"/>
          <w:szCs w:val="21"/>
          <w:rtl/>
        </w:rPr>
        <w:t xml:space="preserve">When</w:t>
      </w:r>
      <w:r>
        <w:rPr>
          <w:rFonts w:ascii="Arial" w:cs="Arial" w:eastAsia="Arial" w:hAnsi="Arial"/>
          <w:b w:val="false"/>
          <w:bCs w:val="false"/>
          <w:sz w:val="21"/>
          <w:szCs w:val="21"/>
          <w:rtl/>
        </w:rPr>
        <w:t xml:space="preserve"> ينشئ مشتركًا برمز </w:t>
      </w:r>
      <w:r>
        <w:rPr>
          <w:rFonts w:ascii="Courier New" w:cs="Courier New" w:eastAsia="Courier New" w:hAnsi="Courier New"/>
          <w:b w:val="false"/>
          <w:bCs w:val="false"/>
          <w:color w:val="1F2937"/>
          <w:sz w:val="18"/>
          <w:szCs w:val="18"/>
          <w:shd w:fill="F1F3F5" w:color="auto" w:val="clear"/>
          <w:rtl/>
        </w:rPr>
        <w:t xml:space="preserve">‎t-alpha‎</w:t>
      </w:r>
      <w:r>
        <w:rPr>
          <w:rFonts w:ascii="Arial" w:cs="Arial" w:eastAsia="Arial" w:hAnsi="Arial"/>
          <w:b w:val="false"/>
          <w:bCs w:val="false"/>
          <w:sz w:val="21"/>
          <w:szCs w:val="21"/>
          <w:rtl/>
        </w:rPr>
        <w:t xml:space="preserve"> واسمين Ar/En ولغة افتراضية en، ثم يعيد تشغيل البذر للمشترك نفسه، ثم ينشئ مشتركًا آخر بالرمز نفسه، ثم يحاول مدير الحساب تعطيل CORE. </w:t>
      </w:r>
      <w:r>
        <w:rPr>
          <w:rFonts w:ascii="Arial" w:cs="Arial" w:eastAsia="Arial" w:hAnsi="Arial"/>
          <w:b w:val="false"/>
          <w:bCs w:val="false"/>
          <w:i/>
          <w:iCs/>
          <w:sz w:val="21"/>
          <w:szCs w:val="21"/>
          <w:rtl/>
        </w:rPr>
        <w:t xml:space="preserve">Then</w:t>
      </w:r>
      <w:r>
        <w:rPr>
          <w:rFonts w:ascii="Arial" w:cs="Arial" w:eastAsia="Arial" w:hAnsi="Arial"/>
          <w:b w:val="false"/>
          <w:bCs w:val="false"/>
          <w:sz w:val="21"/>
          <w:szCs w:val="21"/>
          <w:rtl/>
        </w:rPr>
        <w:t xml:space="preserve"> يُنشأ المشترك بحالة TRIAL ونهاية تجريبية بعد 30 يومًا، ووحداته من الباقة، وأدواره وصلاحياته وكتالوجاته بأعداد حزمة البذر (DOC-B05)، وحساب الخدمة IsSystemUser، ومدير أول تصله دعوة صالحة 48 ساعة؛ إعادة البذر لا تضيف صفًا ويُسجَّل تشغيلها في cfg.SeedRun؛ الرمز المكرر وتعطيل CORE مرفوضان؛ وفشل مصطنع في خطوة البذر لا يترك صفًا للمشترك.</w:t>
      </w:r>
    </w:p>
    <w:p>
      <w:pPr>
        <w:bidi/>
        <w:spacing w:after="110" w:before="0" w:line="312"/>
      </w:pPr>
      <w:r>
        <w:rPr>
          <w:rFonts w:ascii="Arial" w:cs="Arial" w:eastAsia="Arial" w:hAnsi="Arial"/>
          <w:b/>
          <w:bCs/>
          <w:sz w:val="21"/>
          <w:szCs w:val="21"/>
          <w:rtl/>
        </w:rPr>
        <w:t xml:space="preserve">AC-PLT-6 — دورة حياة المشترك (FR-PLT-002، BR-PLT-002).</w:t>
      </w:r>
      <w:r>
        <w:rPr>
          <w:rFonts w:ascii="Arial" w:cs="Arial" w:eastAsia="Arial" w:hAnsi="Arial"/>
          <w:b w:val="false"/>
          <w:bCs w:val="false"/>
          <w:sz w:val="21"/>
          <w:szCs w:val="21"/>
          <w:rtl/>
        </w:rPr>
        <w:t xml:space="preserve"> </w:t>
      </w:r>
      <w:r>
        <w:rPr>
          <w:rFonts w:ascii="Arial" w:cs="Arial" w:eastAsia="Arial" w:hAnsi="Arial"/>
          <w:b w:val="false"/>
          <w:bCs w:val="false"/>
          <w:i/>
          <w:iCs/>
          <w:sz w:val="21"/>
          <w:szCs w:val="21"/>
          <w:rtl/>
        </w:rPr>
        <w:t xml:space="preserve">Given</w:t>
      </w:r>
      <w:r>
        <w:rPr>
          <w:rFonts w:ascii="Arial" w:cs="Arial" w:eastAsia="Arial" w:hAnsi="Arial"/>
          <w:b w:val="false"/>
          <w:bCs w:val="false"/>
          <w:sz w:val="21"/>
          <w:szCs w:val="21"/>
          <w:rtl/>
        </w:rPr>
        <w:t xml:space="preserve"> مشتركًا ACTIVE له اتصالان مربوطان: مدير حساب وموظف خزينة. </w:t>
      </w:r>
      <w:r>
        <w:rPr>
          <w:rFonts w:ascii="Arial" w:cs="Arial" w:eastAsia="Arial" w:hAnsi="Arial"/>
          <w:b w:val="false"/>
          <w:bCs w:val="false"/>
          <w:i/>
          <w:iCs/>
          <w:sz w:val="21"/>
          <w:szCs w:val="21"/>
          <w:rtl/>
        </w:rPr>
        <w:t xml:space="preserve">When</w:t>
      </w:r>
      <w:r>
        <w:rPr>
          <w:rFonts w:ascii="Arial" w:cs="Arial" w:eastAsia="Arial" w:hAnsi="Arial"/>
          <w:b w:val="false"/>
          <w:bCs w:val="false"/>
          <w:sz w:val="21"/>
          <w:szCs w:val="21"/>
          <w:rtl/>
        </w:rPr>
        <w:t xml:space="preserve"> يعلّقه المشغّل بسبب مكتوب، ثم يحاول المدير حفظ شركة، ثم يحاول الموظف دخولًا جديدًا، ثم يغلقه المشغّل، ثم يحاول إعادته إلى ACTIVE. </w:t>
      </w:r>
      <w:r>
        <w:rPr>
          <w:rFonts w:ascii="Arial" w:cs="Arial" w:eastAsia="Arial" w:hAnsi="Arial"/>
          <w:b w:val="false"/>
          <w:bCs w:val="false"/>
          <w:i/>
          <w:iCs/>
          <w:sz w:val="21"/>
          <w:szCs w:val="21"/>
          <w:rtl/>
        </w:rPr>
        <w:t xml:space="preserve">Then</w:t>
      </w:r>
      <w:r>
        <w:rPr>
          <w:rFonts w:ascii="Arial" w:cs="Arial" w:eastAsia="Arial" w:hAnsi="Arial"/>
          <w:b w:val="false"/>
          <w:bCs w:val="false"/>
          <w:sz w:val="21"/>
          <w:szCs w:val="21"/>
          <w:rtl/>
        </w:rPr>
        <w:t xml:space="preserve"> لكل انتقال حدث تدقيق وحدث </w:t>
      </w:r>
      <w:r>
        <w:rPr>
          <w:rFonts w:ascii="Courier New" w:cs="Courier New" w:eastAsia="Courier New" w:hAnsi="Courier New"/>
          <w:b w:val="false"/>
          <w:bCs w:val="false"/>
          <w:color w:val="1F2937"/>
          <w:sz w:val="18"/>
          <w:szCs w:val="18"/>
          <w:shd w:fill="F1F3F5" w:color="auto" w:val="clear"/>
          <w:rtl/>
        </w:rPr>
        <w:t xml:space="preserve">‎tenant.status_changed‎</w:t>
      </w:r>
      <w:r>
        <w:rPr>
          <w:rFonts w:ascii="Arial" w:cs="Arial" w:eastAsia="Arial" w:hAnsi="Arial"/>
          <w:b w:val="false"/>
          <w:bCs w:val="false"/>
          <w:sz w:val="21"/>
          <w:szCs w:val="21"/>
          <w:rtl/>
        </w:rPr>
        <w:t xml:space="preserve">؛ الكتابة مرفوضة في SUSPENDED (T27 وT31)؛ نتيجة دخول الموظف تتبع قرار O-18 (erd_open_items) المفتوح؛ الإغلاق يسحب ربط الاتصالين فورًا (T26) ويرفض أي ربط جديد بالخطأ 50002 (T17)؛ والانتقال من CLOSED إلى ACTIVE مرفوض.</w:t>
      </w:r>
    </w:p>
    <w:p>
      <w:pPr>
        <w:bidi/>
        <w:spacing w:after="110" w:before="0" w:line="312"/>
      </w:pPr>
      <w:r>
        <w:rPr>
          <w:rFonts w:ascii="Arial" w:cs="Arial" w:eastAsia="Arial" w:hAnsi="Arial"/>
          <w:b/>
          <w:bCs/>
          <w:sz w:val="21"/>
          <w:szCs w:val="21"/>
          <w:rtl/>
        </w:rPr>
        <w:t xml:space="preserve">AC-PLT-7 — لوحة المشغّل وحساباته وحدود الباقة (FR-PLT-004، FR-PLT-005، FR-PLT-006).</w:t>
      </w:r>
      <w:r>
        <w:rPr>
          <w:rFonts w:ascii="Arial" w:cs="Arial" w:eastAsia="Arial" w:hAnsi="Arial"/>
          <w:b w:val="false"/>
          <w:bCs w:val="false"/>
          <w:sz w:val="21"/>
          <w:szCs w:val="21"/>
          <w:rtl/>
        </w:rPr>
        <w:t xml:space="preserve"> </w:t>
      </w:r>
      <w:r>
        <w:rPr>
          <w:rFonts w:ascii="Arial" w:cs="Arial" w:eastAsia="Arial" w:hAnsi="Arial"/>
          <w:b w:val="false"/>
          <w:bCs w:val="false"/>
          <w:i/>
          <w:iCs/>
          <w:sz w:val="21"/>
          <w:szCs w:val="21"/>
          <w:rtl/>
        </w:rPr>
        <w:t xml:space="preserve">Given</w:t>
      </w:r>
      <w:r>
        <w:rPr>
          <w:rFonts w:ascii="Arial" w:cs="Arial" w:eastAsia="Arial" w:hAnsi="Arial"/>
          <w:b w:val="false"/>
          <w:bCs w:val="false"/>
          <w:sz w:val="21"/>
          <w:szCs w:val="21"/>
          <w:rtl/>
        </w:rPr>
        <w:t xml:space="preserve"> باقة حد مستخدميها 10، ومشتركًا فيه 8 مستخدمين، ومشغّلًا بدور OPERATOR_SUPPORT. </w:t>
      </w:r>
      <w:r>
        <w:rPr>
          <w:rFonts w:ascii="Arial" w:cs="Arial" w:eastAsia="Arial" w:hAnsi="Arial"/>
          <w:b w:val="false"/>
          <w:bCs w:val="false"/>
          <w:i/>
          <w:iCs/>
          <w:sz w:val="21"/>
          <w:szCs w:val="21"/>
          <w:rtl/>
        </w:rPr>
        <w:t xml:space="preserve">When</w:t>
      </w:r>
      <w:r>
        <w:rPr>
          <w:rFonts w:ascii="Arial" w:cs="Arial" w:eastAsia="Arial" w:hAnsi="Arial"/>
          <w:b w:val="false"/>
          <w:bCs w:val="false"/>
          <w:sz w:val="21"/>
          <w:szCs w:val="21"/>
          <w:rtl/>
        </w:rPr>
        <w:t xml:space="preserve"> ينشئ مدير الحساب المستخدم التاسع، ثم يفتح المشغّل لوحته، ثم يحاول المشغّل الدخول من بوابة المشترك، ويحاول مستخدم مشترك الدخول من بوابة المشغّل. </w:t>
      </w:r>
      <w:r>
        <w:rPr>
          <w:rFonts w:ascii="Arial" w:cs="Arial" w:eastAsia="Arial" w:hAnsi="Arial"/>
          <w:b w:val="false"/>
          <w:bCs w:val="false"/>
          <w:i/>
          <w:iCs/>
          <w:sz w:val="21"/>
          <w:szCs w:val="21"/>
          <w:rtl/>
        </w:rPr>
        <w:t xml:space="preserve">Then</w:t>
      </w:r>
      <w:r>
        <w:rPr>
          <w:rFonts w:ascii="Arial" w:cs="Arial" w:eastAsia="Arial" w:hAnsi="Arial"/>
          <w:b w:val="false"/>
          <w:bCs w:val="false"/>
          <w:sz w:val="21"/>
          <w:szCs w:val="21"/>
          <w:rtl/>
        </w:rPr>
        <w:t xml:space="preserve"> يظهر تنبيه 90% للمدير والمشغّل ولا يُمنع الإنشاء؛ اللوحة تعرض الحالات والعدّادات فقط ولا تلمس جدولًا مملوكًا للمشترك (القاعدة R3 في tools/dbgen/check_grants.py:7)، ودور المنصة يقرأ أحداث المنصة في سجل التدقيق لا صفوف المشتركين (T38)؛ الدخولان المتعاكسان مرفوضان؛ ودخول المشغّل لا يكتمل بلا MFA.</w:t>
      </w:r>
    </w:p>
    <w:p>
      <w:pPr>
        <w:bidi/>
        <w:spacing w:after="110" w:before="0" w:line="312"/>
      </w:pPr>
      <w:r>
        <w:rPr>
          <w:rFonts w:ascii="Arial" w:cs="Arial" w:eastAsia="Arial" w:hAnsi="Arial"/>
          <w:b/>
          <w:bCs/>
          <w:sz w:val="21"/>
          <w:szCs w:val="21"/>
          <w:rtl/>
        </w:rPr>
        <w:t xml:space="preserve">AC-PLT-8 — وصول الدعم المؤقت (FR-PLT-007، BR-PLT-017).</w:t>
      </w:r>
      <w:r>
        <w:rPr>
          <w:rFonts w:ascii="Arial" w:cs="Arial" w:eastAsia="Arial" w:hAnsi="Arial"/>
          <w:b w:val="false"/>
          <w:bCs w:val="false"/>
          <w:sz w:val="21"/>
          <w:szCs w:val="21"/>
          <w:rtl/>
        </w:rPr>
        <w:t xml:space="preserve"> </w:t>
      </w:r>
      <w:r>
        <w:rPr>
          <w:rFonts w:ascii="Arial" w:cs="Arial" w:eastAsia="Arial" w:hAnsi="Arial"/>
          <w:b w:val="false"/>
          <w:bCs w:val="false"/>
          <w:i/>
          <w:iCs/>
          <w:sz w:val="21"/>
          <w:szCs w:val="21"/>
          <w:rtl/>
        </w:rPr>
        <w:t xml:space="preserve">Given</w:t>
      </w:r>
      <w:r>
        <w:rPr>
          <w:rFonts w:ascii="Arial" w:cs="Arial" w:eastAsia="Arial" w:hAnsi="Arial"/>
          <w:b w:val="false"/>
          <w:bCs w:val="false"/>
          <w:sz w:val="21"/>
          <w:szCs w:val="21"/>
          <w:rtl/>
        </w:rPr>
        <w:t xml:space="preserve"> وصول دعم معطّلًا افتراضيًا. </w:t>
      </w:r>
      <w:r>
        <w:rPr>
          <w:rFonts w:ascii="Arial" w:cs="Arial" w:eastAsia="Arial" w:hAnsi="Arial"/>
          <w:b w:val="false"/>
          <w:bCs w:val="false"/>
          <w:i/>
          <w:iCs/>
          <w:sz w:val="21"/>
          <w:szCs w:val="21"/>
          <w:rtl/>
        </w:rPr>
        <w:t xml:space="preserve">When</w:t>
      </w:r>
      <w:r>
        <w:rPr>
          <w:rFonts w:ascii="Arial" w:cs="Arial" w:eastAsia="Arial" w:hAnsi="Arial"/>
          <w:b w:val="false"/>
          <w:bCs w:val="false"/>
          <w:sz w:val="21"/>
          <w:szCs w:val="21"/>
          <w:rtl/>
        </w:rPr>
        <w:t xml:space="preserve"> يحاول المشغّل فتح بيانات المشترك، ثم يفعّل مدير الحساب الوصول 4 ساعات، فيتصفح المشغّل صفحتين ويحاول كشف رقم هوية، ثم تمر 4 ساعات. </w:t>
      </w:r>
      <w:r>
        <w:rPr>
          <w:rFonts w:ascii="Arial" w:cs="Arial" w:eastAsia="Arial" w:hAnsi="Arial"/>
          <w:b w:val="false"/>
          <w:bCs w:val="false"/>
          <w:i/>
          <w:iCs/>
          <w:sz w:val="21"/>
          <w:szCs w:val="21"/>
          <w:rtl/>
        </w:rPr>
        <w:t xml:space="preserve">Then</w:t>
      </w:r>
      <w:r>
        <w:rPr>
          <w:rFonts w:ascii="Arial" w:cs="Arial" w:eastAsia="Arial" w:hAnsi="Arial"/>
          <w:b w:val="false"/>
          <w:bCs w:val="false"/>
          <w:sz w:val="21"/>
          <w:szCs w:val="21"/>
          <w:rtl/>
        </w:rPr>
        <w:t xml:space="preserve"> المحاولة الأولى مرفوضة؛ الصفحتان مسجَّلتان ويراهما المدير في سجل الجلسة؛ الكشف مرفوض ومدقَّق بشدة عالية؛ ويسقط الوصول دون تدخل.</w:t>
      </w:r>
    </w:p>
    <w:p>
      <w:pPr>
        <w:bidi/>
        <w:spacing w:after="110" w:before="0" w:line="312"/>
      </w:pPr>
      <w:r>
        <w:rPr>
          <w:rFonts w:ascii="Arial" w:cs="Arial" w:eastAsia="Arial" w:hAnsi="Arial"/>
          <w:b/>
          <w:bCs/>
          <w:sz w:val="21"/>
          <w:szCs w:val="21"/>
          <w:rtl/>
        </w:rPr>
        <w:t xml:space="preserve">AC-PLT-9 — قائمة البدء (FR-PLT-009، Could).</w:t>
      </w:r>
      <w:r>
        <w:rPr>
          <w:rFonts w:ascii="Arial" w:cs="Arial" w:eastAsia="Arial" w:hAnsi="Arial"/>
          <w:b w:val="false"/>
          <w:bCs w:val="false"/>
          <w:sz w:val="21"/>
          <w:szCs w:val="21"/>
          <w:rtl/>
        </w:rPr>
        <w:t xml:space="preserve"> </w:t>
      </w:r>
      <w:r>
        <w:rPr>
          <w:rFonts w:ascii="Arial" w:cs="Arial" w:eastAsia="Arial" w:hAnsi="Arial"/>
          <w:b w:val="false"/>
          <w:bCs w:val="false"/>
          <w:i/>
          <w:iCs/>
          <w:sz w:val="21"/>
          <w:szCs w:val="21"/>
          <w:rtl/>
        </w:rPr>
        <w:t xml:space="preserve">Given</w:t>
      </w:r>
      <w:r>
        <w:rPr>
          <w:rFonts w:ascii="Arial" w:cs="Arial" w:eastAsia="Arial" w:hAnsi="Arial"/>
          <w:b w:val="false"/>
          <w:bCs w:val="false"/>
          <w:sz w:val="21"/>
          <w:szCs w:val="21"/>
          <w:rtl/>
        </w:rPr>
        <w:t xml:space="preserve"> مشتركًا جديدًا بلا شركات. </w:t>
      </w:r>
      <w:r>
        <w:rPr>
          <w:rFonts w:ascii="Arial" w:cs="Arial" w:eastAsia="Arial" w:hAnsi="Arial"/>
          <w:b w:val="false"/>
          <w:bCs w:val="false"/>
          <w:i/>
          <w:iCs/>
          <w:sz w:val="21"/>
          <w:szCs w:val="21"/>
          <w:rtl/>
        </w:rPr>
        <w:t xml:space="preserve">When</w:t>
      </w:r>
      <w:r>
        <w:rPr>
          <w:rFonts w:ascii="Arial" w:cs="Arial" w:eastAsia="Arial" w:hAnsi="Arial"/>
          <w:b w:val="false"/>
          <w:bCs w:val="false"/>
          <w:sz w:val="21"/>
          <w:szCs w:val="21"/>
          <w:rtl/>
        </w:rPr>
        <w:t xml:space="preserve"> يضيف المدير شركة ومستخدمًا بدور ونطاق، ثم يعطّل المستخدم. </w:t>
      </w:r>
      <w:r>
        <w:rPr>
          <w:rFonts w:ascii="Arial" w:cs="Arial" w:eastAsia="Arial" w:hAnsi="Arial"/>
          <w:b w:val="false"/>
          <w:bCs w:val="false"/>
          <w:i/>
          <w:iCs/>
          <w:sz w:val="21"/>
          <w:szCs w:val="21"/>
          <w:rtl/>
        </w:rPr>
        <w:t xml:space="preserve">Then</w:t>
      </w:r>
      <w:r>
        <w:rPr>
          <w:rFonts w:ascii="Arial" w:cs="Arial" w:eastAsia="Arial" w:hAnsi="Arial"/>
          <w:b w:val="false"/>
          <w:bCs w:val="false"/>
          <w:sz w:val="21"/>
          <w:szCs w:val="21"/>
          <w:rtl/>
        </w:rPr>
        <w:t xml:space="preserve"> ترتفع نسبة الإنجاز بعد الإضافة وتعود الخطوة «غير منجزة» بعد التعطيل، لأن الحساب من البيانات الفعلية لا من علامات يدوية.</w:t>
      </w:r>
    </w:p>
    <w:p>
      <w:pPr>
        <w:bidi/>
        <w:spacing w:after="110" w:before="0" w:line="312"/>
      </w:pPr>
      <w:r>
        <w:rPr>
          <w:rFonts w:ascii="Arial" w:cs="Arial" w:eastAsia="Arial" w:hAnsi="Arial"/>
          <w:b/>
          <w:bCs/>
          <w:sz w:val="21"/>
          <w:szCs w:val="21"/>
          <w:rtl/>
        </w:rPr>
        <w:t xml:space="preserve">AC-PLT-10 — كلمة المرور وتخزينها (FR-PLT-010، BR-PLT-004، ADR 0002).</w:t>
      </w:r>
      <w:r>
        <w:rPr>
          <w:rFonts w:ascii="Arial" w:cs="Arial" w:eastAsia="Arial" w:hAnsi="Arial"/>
          <w:b w:val="false"/>
          <w:bCs w:val="false"/>
          <w:sz w:val="21"/>
          <w:szCs w:val="21"/>
          <w:rtl/>
        </w:rPr>
        <w:t xml:space="preserve"> </w:t>
      </w:r>
      <w:r>
        <w:rPr>
          <w:rFonts w:ascii="Arial" w:cs="Arial" w:eastAsia="Arial" w:hAnsi="Arial"/>
          <w:b w:val="false"/>
          <w:bCs w:val="false"/>
          <w:i/>
          <w:iCs/>
          <w:sz w:val="21"/>
          <w:szCs w:val="21"/>
          <w:rtl/>
        </w:rPr>
        <w:t xml:space="preserve">Given</w:t>
      </w:r>
      <w:r>
        <w:rPr>
          <w:rFonts w:ascii="Arial" w:cs="Arial" w:eastAsia="Arial" w:hAnsi="Arial"/>
          <w:b w:val="false"/>
          <w:bCs w:val="false"/>
          <w:sz w:val="21"/>
          <w:szCs w:val="21"/>
          <w:rtl/>
        </w:rPr>
        <w:t xml:space="preserve"> سياسة المشترك الافتراضية 12 خانة وحد المنصة 10. </w:t>
      </w:r>
      <w:r>
        <w:rPr>
          <w:rFonts w:ascii="Arial" w:cs="Arial" w:eastAsia="Arial" w:hAnsi="Arial"/>
          <w:b w:val="false"/>
          <w:bCs w:val="false"/>
          <w:i/>
          <w:iCs/>
          <w:sz w:val="21"/>
          <w:szCs w:val="21"/>
          <w:rtl/>
        </w:rPr>
        <w:t xml:space="preserve">When</w:t>
      </w:r>
      <w:r>
        <w:rPr>
          <w:rFonts w:ascii="Arial" w:cs="Arial" w:eastAsia="Arial" w:hAnsi="Arial"/>
          <w:b w:val="false"/>
          <w:bCs w:val="false"/>
          <w:sz w:val="21"/>
          <w:szCs w:val="21"/>
          <w:rtl/>
        </w:rPr>
        <w:t xml:space="preserve"> يضبط مستخدم كلمة من 11 خانة، ثم كلمة واردة في قائمة التسريبات، ثم كلمة سليمة من 14 خانة، ثم يحاول المدير خفض السياسة إلى 9 خانات، ثم يحاول دور التطبيق قراءة عمود التجزئة. </w:t>
      </w:r>
      <w:r>
        <w:rPr>
          <w:rFonts w:ascii="Arial" w:cs="Arial" w:eastAsia="Arial" w:hAnsi="Arial"/>
          <w:b w:val="false"/>
          <w:bCs w:val="false"/>
          <w:i/>
          <w:iCs/>
          <w:sz w:val="21"/>
          <w:szCs w:val="21"/>
          <w:rtl/>
        </w:rPr>
        <w:t xml:space="preserve">Then</w:t>
      </w:r>
      <w:r>
        <w:rPr>
          <w:rFonts w:ascii="Arial" w:cs="Arial" w:eastAsia="Arial" w:hAnsi="Arial"/>
          <w:b w:val="false"/>
          <w:bCs w:val="false"/>
          <w:sz w:val="21"/>
          <w:szCs w:val="21"/>
          <w:rtl/>
        </w:rPr>
        <w:t xml:space="preserve"> الأولى والثانية مرفوضتان؛ الثالثة تُخزَّن بصيغة PHC لـ Argon2id بمعاملات لا تقل عن m=65536 وt=3 وp=4؛ خفض السياسة مرفوض؛ القراءة مرفوضة بالخطأ 230 (T35)؛ ولا تظهر الكلمة في أي سجل.</w:t>
      </w:r>
    </w:p>
    <w:p>
      <w:pPr>
        <w:bidi/>
        <w:spacing w:after="110" w:before="0" w:line="312"/>
      </w:pPr>
      <w:r>
        <w:rPr>
          <w:rFonts w:ascii="Arial" w:cs="Arial" w:eastAsia="Arial" w:hAnsi="Arial"/>
          <w:b/>
          <w:bCs/>
          <w:sz w:val="21"/>
          <w:szCs w:val="21"/>
          <w:rtl/>
        </w:rPr>
        <w:t xml:space="preserve">AC-PLT-11 — الدعوة وإعادة التعيين (FR-PLT-013).</w:t>
      </w:r>
      <w:r>
        <w:rPr>
          <w:rFonts w:ascii="Arial" w:cs="Arial" w:eastAsia="Arial" w:hAnsi="Arial"/>
          <w:b w:val="false"/>
          <w:bCs w:val="false"/>
          <w:sz w:val="21"/>
          <w:szCs w:val="21"/>
          <w:rtl/>
        </w:rPr>
        <w:t xml:space="preserve"> </w:t>
      </w:r>
      <w:r>
        <w:rPr>
          <w:rFonts w:ascii="Arial" w:cs="Arial" w:eastAsia="Arial" w:hAnsi="Arial"/>
          <w:b w:val="false"/>
          <w:bCs w:val="false"/>
          <w:i/>
          <w:iCs/>
          <w:sz w:val="21"/>
          <w:szCs w:val="21"/>
          <w:rtl/>
        </w:rPr>
        <w:t xml:space="preserve">Given</w:t>
      </w:r>
      <w:r>
        <w:rPr>
          <w:rFonts w:ascii="Arial" w:cs="Arial" w:eastAsia="Arial" w:hAnsi="Arial"/>
          <w:b w:val="false"/>
          <w:bCs w:val="false"/>
          <w:sz w:val="21"/>
          <w:szCs w:val="21"/>
          <w:rtl/>
        </w:rPr>
        <w:t xml:space="preserve"> دعوة أُرسلت في 2026-10-12 09:00، وملتقِط SMTP في بيئة الاختبار. </w:t>
      </w:r>
      <w:r>
        <w:rPr>
          <w:rFonts w:ascii="Arial" w:cs="Arial" w:eastAsia="Arial" w:hAnsi="Arial"/>
          <w:b w:val="false"/>
          <w:bCs w:val="false"/>
          <w:i/>
          <w:iCs/>
          <w:sz w:val="21"/>
          <w:szCs w:val="21"/>
          <w:rtl/>
        </w:rPr>
        <w:t xml:space="preserve">When</w:t>
      </w:r>
      <w:r>
        <w:rPr>
          <w:rFonts w:ascii="Arial" w:cs="Arial" w:eastAsia="Arial" w:hAnsi="Arial"/>
          <w:b w:val="false"/>
          <w:bCs w:val="false"/>
          <w:sz w:val="21"/>
          <w:szCs w:val="21"/>
          <w:rtl/>
        </w:rPr>
        <w:t xml:space="preserve"> يُفتح رابط الدعوة في 2026-10-14 10:00، ويُطلب إعادة تعيين لبريد مسجَّل ولبريد غير مسجَّل، ويُستعمل رابط الإعادة مرتين، ويتعطل المرحّل عند إرسال ثالث. </w:t>
      </w:r>
      <w:r>
        <w:rPr>
          <w:rFonts w:ascii="Arial" w:cs="Arial" w:eastAsia="Arial" w:hAnsi="Arial"/>
          <w:b w:val="false"/>
          <w:bCs w:val="false"/>
          <w:i/>
          <w:iCs/>
          <w:sz w:val="21"/>
          <w:szCs w:val="21"/>
          <w:rtl/>
        </w:rPr>
        <w:t xml:space="preserve">Then</w:t>
      </w:r>
      <w:r>
        <w:rPr>
          <w:rFonts w:ascii="Arial" w:cs="Arial" w:eastAsia="Arial" w:hAnsi="Arial"/>
          <w:b w:val="false"/>
          <w:bCs w:val="false"/>
          <w:sz w:val="21"/>
          <w:szCs w:val="21"/>
          <w:rtl/>
        </w:rPr>
        <w:t xml:space="preserve"> الدعوة منتهية لتجاوز 48 ساعة؛ الاستجابتان لطلبي الإعادة متطابقتان؛ الاستعمال الثاني مرفوض؛ الرابط مخزَّن مجزَّأً ولا يحمل بيانات مقيّدة؛ وفشل الإرسال مسجَّل في التدقيق.</w:t>
      </w:r>
    </w:p>
    <w:p>
      <w:pPr>
        <w:bidi/>
        <w:spacing w:after="110" w:before="0" w:line="312"/>
      </w:pPr>
      <w:r>
        <w:rPr>
          <w:rFonts w:ascii="Arial" w:cs="Arial" w:eastAsia="Arial" w:hAnsi="Arial"/>
          <w:b/>
          <w:bCs/>
          <w:sz w:val="21"/>
          <w:szCs w:val="21"/>
          <w:rtl/>
        </w:rPr>
        <w:t xml:space="preserve">AC-PLT-12 — مهل الجلسة وإنهاؤها (FR-PLT-014).</w:t>
      </w:r>
      <w:r>
        <w:rPr>
          <w:rFonts w:ascii="Arial" w:cs="Arial" w:eastAsia="Arial" w:hAnsi="Arial"/>
          <w:b w:val="false"/>
          <w:bCs w:val="false"/>
          <w:sz w:val="21"/>
          <w:szCs w:val="21"/>
          <w:rtl/>
        </w:rPr>
        <w:t xml:space="preserve"> </w:t>
      </w:r>
      <w:r>
        <w:rPr>
          <w:rFonts w:ascii="Arial" w:cs="Arial" w:eastAsia="Arial" w:hAnsi="Arial"/>
          <w:b w:val="false"/>
          <w:bCs w:val="false"/>
          <w:i/>
          <w:iCs/>
          <w:sz w:val="21"/>
          <w:szCs w:val="21"/>
          <w:rtl/>
        </w:rPr>
        <w:t xml:space="preserve">Given</w:t>
      </w:r>
      <w:r>
        <w:rPr>
          <w:rFonts w:ascii="Arial" w:cs="Arial" w:eastAsia="Arial" w:hAnsi="Arial"/>
          <w:b w:val="false"/>
          <w:bCs w:val="false"/>
          <w:sz w:val="21"/>
          <w:szCs w:val="21"/>
          <w:rtl/>
        </w:rPr>
        <w:t xml:space="preserve"> مستخدمًا بجلسة بدأت 08:00. </w:t>
      </w:r>
      <w:r>
        <w:rPr>
          <w:rFonts w:ascii="Arial" w:cs="Arial" w:eastAsia="Arial" w:hAnsi="Arial"/>
          <w:b w:val="false"/>
          <w:bCs w:val="false"/>
          <w:i/>
          <w:iCs/>
          <w:sz w:val="21"/>
          <w:szCs w:val="21"/>
          <w:rtl/>
        </w:rPr>
        <w:t xml:space="preserve">When</w:t>
      </w:r>
      <w:r>
        <w:rPr>
          <w:rFonts w:ascii="Arial" w:cs="Arial" w:eastAsia="Arial" w:hAnsi="Arial"/>
          <w:b w:val="false"/>
          <w:bCs w:val="false"/>
          <w:sz w:val="21"/>
          <w:szCs w:val="21"/>
          <w:rtl/>
        </w:rPr>
        <w:t xml:space="preserve"> يتوقف عن النشاط من 08:10 حتى 08:41، ثم يدخل من جديد ويطلب تصديرًا حساسًا، ثم ينهي المدير جلسته من شاشة الجلسات. </w:t>
      </w:r>
      <w:r>
        <w:rPr>
          <w:rFonts w:ascii="Arial" w:cs="Arial" w:eastAsia="Arial" w:hAnsi="Arial"/>
          <w:b w:val="false"/>
          <w:bCs w:val="false"/>
          <w:i/>
          <w:iCs/>
          <w:sz w:val="21"/>
          <w:szCs w:val="21"/>
          <w:rtl/>
        </w:rPr>
        <w:t xml:space="preserve">Then</w:t>
      </w:r>
      <w:r>
        <w:rPr>
          <w:rFonts w:ascii="Arial" w:cs="Arial" w:eastAsia="Arial" w:hAnsi="Arial"/>
          <w:b w:val="false"/>
          <w:bCs w:val="false"/>
          <w:sz w:val="21"/>
          <w:szCs w:val="21"/>
          <w:rtl/>
        </w:rPr>
        <w:t xml:space="preserve"> طلب 08:41 يحتاج دخولًا جديدًا (خمول 30 دقيقة)؛ التصدير يطلب إعادة مصادقة؛ الإنهاء يسحب الربط فورًا في القاعدة (T37) ويسري على الطلب التالي خلال دقيقة؛ والجلسة المنتهية بالخمول لا تربط (T32)؛ ولا تتجاوز أي جلسة 12 ساعة، ولا يستطيع دور التطبيق تمديدها (T35).</w:t>
      </w:r>
    </w:p>
    <w:p>
      <w:pPr>
        <w:bidi/>
        <w:spacing w:after="110" w:before="0" w:line="312"/>
      </w:pPr>
      <w:r>
        <w:rPr>
          <w:rFonts w:ascii="Arial" w:cs="Arial" w:eastAsia="Arial" w:hAnsi="Arial"/>
          <w:b/>
          <w:bCs/>
          <w:sz w:val="21"/>
          <w:szCs w:val="21"/>
          <w:rtl/>
        </w:rPr>
        <w:t xml:space="preserve">AC-PLT-13 — المستخدمون والأدوار وترتيب التقييم (FR-PLT-016، FR-PLT-017، FR-PLT-018، FR-PLT-021).</w:t>
      </w:r>
      <w:r>
        <w:rPr>
          <w:rFonts w:ascii="Arial" w:cs="Arial" w:eastAsia="Arial" w:hAnsi="Arial"/>
          <w:b w:val="false"/>
          <w:bCs w:val="false"/>
          <w:sz w:val="21"/>
          <w:szCs w:val="21"/>
          <w:rtl/>
        </w:rPr>
        <w:t xml:space="preserve"> </w:t>
      </w:r>
      <w:r>
        <w:rPr>
          <w:rFonts w:ascii="Arial" w:cs="Arial" w:eastAsia="Arial" w:hAnsi="Arial"/>
          <w:b w:val="false"/>
          <w:bCs w:val="false"/>
          <w:i/>
          <w:iCs/>
          <w:sz w:val="21"/>
          <w:szCs w:val="21"/>
          <w:rtl/>
        </w:rPr>
        <w:t xml:space="preserve">Given</w:t>
      </w:r>
      <w:r>
        <w:rPr>
          <w:rFonts w:ascii="Arial" w:cs="Arial" w:eastAsia="Arial" w:hAnsi="Arial"/>
          <w:b w:val="false"/>
          <w:bCs w:val="false"/>
          <w:sz w:val="21"/>
          <w:szCs w:val="21"/>
          <w:rtl/>
        </w:rPr>
        <w:t xml:space="preserve"> مشتركًا فيه مدير حساب فعّال واحد، ودورًا مخصصًا «مراجع» بصلاحية عرض الشركات، ومستخدمًا U1 بدوري «مراجع» و«موظف خزينة» ونطاقه الشركة C1. </w:t>
      </w:r>
      <w:r>
        <w:rPr>
          <w:rFonts w:ascii="Arial" w:cs="Arial" w:eastAsia="Arial" w:hAnsi="Arial"/>
          <w:b w:val="false"/>
          <w:bCs w:val="false"/>
          <w:i/>
          <w:iCs/>
          <w:sz w:val="21"/>
          <w:szCs w:val="21"/>
          <w:rtl/>
        </w:rPr>
        <w:t xml:space="preserve">When</w:t>
      </w:r>
      <w:r>
        <w:rPr>
          <w:rFonts w:ascii="Arial" w:cs="Arial" w:eastAsia="Arial" w:hAnsi="Arial"/>
          <w:b w:val="false"/>
          <w:bCs w:val="false"/>
          <w:sz w:val="21"/>
          <w:szCs w:val="21"/>
          <w:rtl/>
        </w:rPr>
        <w:t xml:space="preserve"> يحاول المدير تعطيل نفسه، ثم يضيف إلى «مراجع» صلاحية تعديل الشركات، ثم يعدّل U1 الشركة C1 ويطلب الشركة C2 بمعرّفها ويستدعي نقطة لا يملك صلاحيتها، ويصدر إصدار يضيف رمز صلاحية جديدًا. </w:t>
      </w:r>
      <w:r>
        <w:rPr>
          <w:rFonts w:ascii="Arial" w:cs="Arial" w:eastAsia="Arial" w:hAnsi="Arial"/>
          <w:b w:val="false"/>
          <w:bCs w:val="false"/>
          <w:i/>
          <w:iCs/>
          <w:sz w:val="21"/>
          <w:szCs w:val="21"/>
          <w:rtl/>
        </w:rPr>
        <w:t xml:space="preserve">Then</w:t>
      </w:r>
      <w:r>
        <w:rPr>
          <w:rFonts w:ascii="Arial" w:cs="Arial" w:eastAsia="Arial" w:hAnsi="Arial"/>
          <w:b w:val="false"/>
          <w:bCs w:val="false"/>
          <w:sz w:val="21"/>
          <w:szCs w:val="21"/>
          <w:rtl/>
        </w:rPr>
        <w:t xml:space="preserve"> التعطيل مرفوض؛ التعديل يسري على طلب U1 التالي؛ صلاحياته اتحاد الدورين؛ C2 تعيد 404 والنقطة 403؛ الصلاحية الجديدة غير ممنوحة لأحد ولا يضيف المشترك رمزًا؛ وفحص البناء يفشل إن ورد في مصفوفة أي ملف وحدة رمز غير موجود في الكتالوج.</w:t>
      </w:r>
    </w:p>
    <w:p>
      <w:pPr>
        <w:bidi/>
        <w:spacing w:after="110" w:before="0" w:line="312"/>
      </w:pPr>
      <w:r>
        <w:rPr>
          <w:rFonts w:ascii="Arial" w:cs="Arial" w:eastAsia="Arial" w:hAnsi="Arial"/>
          <w:b/>
          <w:bCs/>
          <w:sz w:val="21"/>
          <w:szCs w:val="21"/>
          <w:rtl/>
        </w:rPr>
        <w:t xml:space="preserve">AC-PLT-14 — سجل التدقيق وعارضه (FR-PLT-022، FR-PLT-023، FR-PLT-024).</w:t>
      </w:r>
      <w:r>
        <w:rPr>
          <w:rFonts w:ascii="Arial" w:cs="Arial" w:eastAsia="Arial" w:hAnsi="Arial"/>
          <w:b w:val="false"/>
          <w:bCs w:val="false"/>
          <w:sz w:val="21"/>
          <w:szCs w:val="21"/>
          <w:rtl/>
        </w:rPr>
        <w:t xml:space="preserve"> </w:t>
      </w:r>
      <w:r>
        <w:rPr>
          <w:rFonts w:ascii="Arial" w:cs="Arial" w:eastAsia="Arial" w:hAnsi="Arial"/>
          <w:b w:val="false"/>
          <w:bCs w:val="false"/>
          <w:i/>
          <w:iCs/>
          <w:sz w:val="21"/>
          <w:szCs w:val="21"/>
          <w:rtl/>
        </w:rPr>
        <w:t xml:space="preserve">Given</w:t>
      </w:r>
      <w:r>
        <w:rPr>
          <w:rFonts w:ascii="Arial" w:cs="Arial" w:eastAsia="Arial" w:hAnsi="Arial"/>
          <w:b w:val="false"/>
          <w:bCs w:val="false"/>
          <w:sz w:val="21"/>
          <w:szCs w:val="21"/>
          <w:rtl/>
        </w:rPr>
        <w:t xml:space="preserve"> مدققًا بصلاحية </w:t>
      </w:r>
      <w:r>
        <w:rPr>
          <w:rFonts w:ascii="Courier New" w:cs="Courier New" w:eastAsia="Courier New" w:hAnsi="Courier New"/>
          <w:b w:val="false"/>
          <w:bCs w:val="false"/>
          <w:color w:val="1F2937"/>
          <w:sz w:val="18"/>
          <w:szCs w:val="18"/>
          <w:shd w:fill="F1F3F5" w:color="auto" w:val="clear"/>
          <w:rtl/>
        </w:rPr>
        <w:t xml:space="preserve">‎audit.view‎</w:t>
      </w:r>
      <w:r>
        <w:rPr>
          <w:rFonts w:ascii="Arial" w:cs="Arial" w:eastAsia="Arial" w:hAnsi="Arial"/>
          <w:b w:val="false"/>
          <w:bCs w:val="false"/>
          <w:sz w:val="21"/>
          <w:szCs w:val="21"/>
          <w:rtl/>
        </w:rPr>
        <w:t xml:space="preserve">، ومسؤول تسهيلات بلا صلاحية تدقيق. </w:t>
      </w:r>
      <w:r>
        <w:rPr>
          <w:rFonts w:ascii="Arial" w:cs="Arial" w:eastAsia="Arial" w:hAnsi="Arial"/>
          <w:b w:val="false"/>
          <w:bCs w:val="false"/>
          <w:i/>
          <w:iCs/>
          <w:sz w:val="21"/>
          <w:szCs w:val="21"/>
          <w:rtl/>
        </w:rPr>
        <w:t xml:space="preserve">When</w:t>
      </w:r>
      <w:r>
        <w:rPr>
          <w:rFonts w:ascii="Arial" w:cs="Arial" w:eastAsia="Arial" w:hAnsi="Arial"/>
          <w:b w:val="false"/>
          <w:bCs w:val="false"/>
          <w:sz w:val="21"/>
          <w:szCs w:val="21"/>
          <w:rtl/>
        </w:rPr>
        <w:t xml:space="preserve"> يعدّل مستخدم رقم هوية من </w:t>
      </w:r>
      <w:r>
        <w:rPr>
          <w:rFonts w:ascii="Courier New" w:cs="Courier New" w:eastAsia="Courier New" w:hAnsi="Courier New"/>
          <w:b w:val="false"/>
          <w:bCs w:val="false"/>
          <w:color w:val="1F2937"/>
          <w:sz w:val="18"/>
          <w:szCs w:val="18"/>
          <w:shd w:fill="F1F3F5" w:color="auto" w:val="clear"/>
          <w:rtl/>
        </w:rPr>
        <w:t xml:space="preserve">‎…7890‎</w:t>
      </w:r>
      <w:r>
        <w:rPr>
          <w:rFonts w:ascii="Arial" w:cs="Arial" w:eastAsia="Arial" w:hAnsi="Arial"/>
          <w:b w:val="false"/>
          <w:bCs w:val="false"/>
          <w:sz w:val="21"/>
          <w:szCs w:val="21"/>
          <w:rtl/>
        </w:rPr>
        <w:t xml:space="preserve"> إلى </w:t>
      </w:r>
      <w:r>
        <w:rPr>
          <w:rFonts w:ascii="Courier New" w:cs="Courier New" w:eastAsia="Courier New" w:hAnsi="Courier New"/>
          <w:b w:val="false"/>
          <w:bCs w:val="false"/>
          <w:color w:val="1F2937"/>
          <w:sz w:val="18"/>
          <w:szCs w:val="18"/>
          <w:shd w:fill="F1F3F5" w:color="auto" w:val="clear"/>
          <w:rtl/>
        </w:rPr>
        <w:t xml:space="preserve">‎…1234‎</w:t>
      </w:r>
      <w:r>
        <w:rPr>
          <w:rFonts w:ascii="Arial" w:cs="Arial" w:eastAsia="Arial" w:hAnsi="Arial"/>
          <w:b w:val="false"/>
          <w:bCs w:val="false"/>
          <w:sz w:val="21"/>
          <w:szCs w:val="21"/>
          <w:rtl/>
        </w:rPr>
        <w:t xml:space="preserve">، ويفتح المدقق العارض ويصفّي ويصدّر، ويحاول مسؤول التسهيلات فتح العارض، ويحاول دور التطبيق تعديل صف تدقيق أو حذفه أو إضافته لمشترك آخر. </w:t>
      </w:r>
      <w:r>
        <w:rPr>
          <w:rFonts w:ascii="Arial" w:cs="Arial" w:eastAsia="Arial" w:hAnsi="Arial"/>
          <w:b w:val="false"/>
          <w:bCs w:val="false"/>
          <w:i/>
          <w:iCs/>
          <w:sz w:val="21"/>
          <w:szCs w:val="21"/>
          <w:rtl/>
        </w:rPr>
        <w:t xml:space="preserve">Then</w:t>
      </w:r>
      <w:r>
        <w:rPr>
          <w:rFonts w:ascii="Arial" w:cs="Arial" w:eastAsia="Arial" w:hAnsi="Arial"/>
          <w:b w:val="false"/>
          <w:bCs w:val="false"/>
          <w:sz w:val="21"/>
          <w:szCs w:val="21"/>
          <w:rtl/>
        </w:rPr>
        <w:t xml:space="preserve"> يُسجَّل التعديل بالقناعين فقط؛ الفتح يضيف AUDIT_VIEWED والتصدير حدثًا بشدة عالية؛ المسؤول يتلقى 403؛ التعديل والحذف مرفوضان (T15) والإضافة لمشترك آخر مرفوضة (T14)؛ وكل حدث يحمل الفاعل والمشترك والشركة والارتباط والعنوان والنتيجة.</w:t>
      </w:r>
    </w:p>
    <w:p>
      <w:pPr>
        <w:bidi/>
        <w:spacing w:after="110" w:before="0" w:line="312"/>
      </w:pPr>
      <w:r>
        <w:rPr>
          <w:rFonts w:ascii="Arial" w:cs="Arial" w:eastAsia="Arial" w:hAnsi="Arial"/>
          <w:b/>
          <w:bCs/>
          <w:sz w:val="21"/>
          <w:szCs w:val="21"/>
          <w:rtl/>
        </w:rPr>
        <w:t xml:space="preserve">AC-PLT-15 — مخزن المستندات (FR-PLT-027 إلى FR-PLT-030، FR-CAT-018).</w:t>
      </w:r>
      <w:r>
        <w:rPr>
          <w:rFonts w:ascii="Arial" w:cs="Arial" w:eastAsia="Arial" w:hAnsi="Arial"/>
          <w:b w:val="false"/>
          <w:bCs w:val="false"/>
          <w:sz w:val="21"/>
          <w:szCs w:val="21"/>
          <w:rtl/>
        </w:rPr>
        <w:t xml:space="preserve"> </w:t>
      </w:r>
      <w:r>
        <w:rPr>
          <w:rFonts w:ascii="Arial" w:cs="Arial" w:eastAsia="Arial" w:hAnsi="Arial"/>
          <w:b w:val="false"/>
          <w:bCs w:val="false"/>
          <w:i/>
          <w:iCs/>
          <w:sz w:val="21"/>
          <w:szCs w:val="21"/>
          <w:rtl/>
        </w:rPr>
        <w:t xml:space="preserve">Given</w:t>
      </w:r>
      <w:r>
        <w:rPr>
          <w:rFonts w:ascii="Arial" w:cs="Arial" w:eastAsia="Arial" w:hAnsi="Arial"/>
          <w:b w:val="false"/>
          <w:bCs w:val="false"/>
          <w:sz w:val="21"/>
          <w:szCs w:val="21"/>
          <w:rtl/>
        </w:rPr>
        <w:t xml:space="preserve"> نوع COMMERCIAL_REGISTRATION بعلم RequiresExpiry، ونوعًا IsSensitive، وملف PDF سليمًا، وملفًا تنفيذيًا أُعيدت تسميته </w:t>
      </w:r>
      <w:r>
        <w:rPr>
          <w:rFonts w:ascii="Courier New" w:cs="Courier New" w:eastAsia="Courier New" w:hAnsi="Courier New"/>
          <w:b w:val="false"/>
          <w:bCs w:val="false"/>
          <w:color w:val="1F2937"/>
          <w:sz w:val="18"/>
          <w:szCs w:val="18"/>
          <w:shd w:fill="F1F3F5" w:color="auto" w:val="clear"/>
          <w:rtl/>
        </w:rPr>
        <w:t xml:space="preserve">‎.pdf‎</w:t>
      </w:r>
      <w:r>
        <w:rPr>
          <w:rFonts w:ascii="Arial" w:cs="Arial" w:eastAsia="Arial" w:hAnsi="Arial"/>
          <w:b w:val="false"/>
          <w:bCs w:val="false"/>
          <w:sz w:val="21"/>
          <w:szCs w:val="21"/>
          <w:rtl/>
        </w:rPr>
        <w:t xml:space="preserve">، وملفًا بحجم 26 ميغابايت. </w:t>
      </w:r>
      <w:r>
        <w:rPr>
          <w:rFonts w:ascii="Arial" w:cs="Arial" w:eastAsia="Arial" w:hAnsi="Arial"/>
          <w:b w:val="false"/>
          <w:bCs w:val="false"/>
          <w:i/>
          <w:iCs/>
          <w:sz w:val="21"/>
          <w:szCs w:val="21"/>
          <w:rtl/>
        </w:rPr>
        <w:t xml:space="preserve">When</w:t>
      </w:r>
      <w:r>
        <w:rPr>
          <w:rFonts w:ascii="Arial" w:cs="Arial" w:eastAsia="Arial" w:hAnsi="Arial"/>
          <w:b w:val="false"/>
          <w:bCs w:val="false"/>
          <w:sz w:val="21"/>
          <w:szCs w:val="21"/>
          <w:rtl/>
        </w:rPr>
        <w:t xml:space="preserve"> يُرفع الأول بلا تاريخ انتهاء ثم بتاريخ، ثم يُرفع له إصدار ثانٍ ويُربط بشركتين، ثم يُرفع الملفان الآخران، ثم يطلب موظف خزينة تنزيل مستند مقيَّد ومصغّرته. </w:t>
      </w:r>
      <w:r>
        <w:rPr>
          <w:rFonts w:ascii="Arial" w:cs="Arial" w:eastAsia="Arial" w:hAnsi="Arial"/>
          <w:b w:val="false"/>
          <w:bCs w:val="false"/>
          <w:i/>
          <w:iCs/>
          <w:sz w:val="21"/>
          <w:szCs w:val="21"/>
          <w:rtl/>
        </w:rPr>
        <w:t xml:space="preserve">Then</w:t>
      </w:r>
      <w:r>
        <w:rPr>
          <w:rFonts w:ascii="Arial" w:cs="Arial" w:eastAsia="Arial" w:hAnsi="Arial"/>
          <w:b w:val="false"/>
          <w:bCs w:val="false"/>
          <w:sz w:val="21"/>
          <w:szCs w:val="21"/>
          <w:rtl/>
        </w:rPr>
        <w:t xml:space="preserve"> الحفظ بلا انتهاء مرفوض؛ الإصدار الثاني لا يغيّر الأول؛ البصمة المخزّنة تطابق إعادة الحساب؛ المستند يظهر في الكيانين؛ التنفيذي والكبير مرفوضان، وملف معلَّم مشبوهًا يبقى في الحجر؛ طلب الموظف يعيد 403 للمستند والمصغّرة؛ وكل تنزيل مسجَّل.</w:t>
      </w:r>
    </w:p>
    <w:p>
      <w:pPr>
        <w:bidi/>
        <w:spacing w:after="110" w:before="0" w:line="312"/>
      </w:pPr>
      <w:r>
        <w:rPr>
          <w:rFonts w:ascii="Arial" w:cs="Arial" w:eastAsia="Arial" w:hAnsi="Arial"/>
          <w:b/>
          <w:bCs/>
          <w:sz w:val="21"/>
          <w:szCs w:val="21"/>
          <w:rtl/>
        </w:rPr>
        <w:t xml:space="preserve">AC-PLT-16 — التوطين والتقويم والتنسيق (FR-PLT-032، FR-PLT-033، FR-PLT-034).</w:t>
      </w:r>
      <w:r>
        <w:rPr>
          <w:rFonts w:ascii="Arial" w:cs="Arial" w:eastAsia="Arial" w:hAnsi="Arial"/>
          <w:b w:val="false"/>
          <w:bCs w:val="false"/>
          <w:sz w:val="21"/>
          <w:szCs w:val="21"/>
          <w:rtl/>
        </w:rPr>
        <w:t xml:space="preserve"> </w:t>
      </w:r>
      <w:r>
        <w:rPr>
          <w:rFonts w:ascii="Arial" w:cs="Arial" w:eastAsia="Arial" w:hAnsi="Arial"/>
          <w:b w:val="false"/>
          <w:bCs w:val="false"/>
          <w:i/>
          <w:iCs/>
          <w:sz w:val="21"/>
          <w:szCs w:val="21"/>
          <w:rtl/>
        </w:rPr>
        <w:t xml:space="preserve">Given</w:t>
      </w:r>
      <w:r>
        <w:rPr>
          <w:rFonts w:ascii="Arial" w:cs="Arial" w:eastAsia="Arial" w:hAnsi="Arial"/>
          <w:b w:val="false"/>
          <w:bCs w:val="false"/>
          <w:sz w:val="21"/>
          <w:szCs w:val="21"/>
          <w:rtl/>
        </w:rPr>
        <w:t xml:space="preserve"> واجهة إنجليزية أساسًا، ومحليّة تجريبية RTL، ومشتركًا توقيته Asia/Riyadh. </w:t>
      </w:r>
      <w:r>
        <w:rPr>
          <w:rFonts w:ascii="Arial" w:cs="Arial" w:eastAsia="Arial" w:hAnsi="Arial"/>
          <w:b w:val="false"/>
          <w:bCs w:val="false"/>
          <w:i/>
          <w:iCs/>
          <w:sz w:val="21"/>
          <w:szCs w:val="21"/>
          <w:rtl/>
        </w:rPr>
        <w:t xml:space="preserve">When</w:t>
      </w:r>
      <w:r>
        <w:rPr>
          <w:rFonts w:ascii="Arial" w:cs="Arial" w:eastAsia="Arial" w:hAnsi="Arial"/>
          <w:b w:val="false"/>
          <w:bCs w:val="false"/>
          <w:sz w:val="21"/>
          <w:szCs w:val="21"/>
          <w:rtl/>
        </w:rPr>
        <w:t xml:space="preserve"> يُشغَّل فحص النصوص الثابتة، وتُعرض كل صفحات S0 بالمحليّة RTL، ويُدخل تاريخ هجري صحيح ثم تاريخ هجري غير موجود في حقل معلَّم، ويُعرض وقت مخزَّن 2026-10-12T06:00Z. </w:t>
      </w:r>
      <w:r>
        <w:rPr>
          <w:rFonts w:ascii="Arial" w:cs="Arial" w:eastAsia="Arial" w:hAnsi="Arial"/>
          <w:b w:val="false"/>
          <w:bCs w:val="false"/>
          <w:i/>
          <w:iCs/>
          <w:sz w:val="21"/>
          <w:szCs w:val="21"/>
          <w:rtl/>
        </w:rPr>
        <w:t xml:space="preserve">Then</w:t>
      </w:r>
      <w:r>
        <w:rPr>
          <w:rFonts w:ascii="Arial" w:cs="Arial" w:eastAsia="Arial" w:hAnsi="Arial"/>
          <w:b w:val="false"/>
          <w:bCs w:val="false"/>
          <w:sz w:val="21"/>
          <w:szCs w:val="21"/>
          <w:rtl/>
        </w:rPr>
        <w:t xml:space="preserve"> لا نص مرئي خارج ملفات الموارد؛ اختبار التخطيط لا يجد تداخلًا أو قصًّا؛ يُخزَّن الميلادي ويُعرض النص المُدخل؛ التاريخ غير الموجود مرفوض؛ ويُعرض الوقت 09:00 بأرقام 0-9.</w:t>
      </w:r>
    </w:p>
    <w:p>
      <w:pPr>
        <w:bidi/>
        <w:spacing w:after="110" w:before="0" w:line="312"/>
      </w:pPr>
      <w:r>
        <w:rPr>
          <w:rFonts w:ascii="Arial" w:cs="Arial" w:eastAsia="Arial" w:hAnsi="Arial"/>
          <w:b/>
          <w:bCs/>
          <w:sz w:val="21"/>
          <w:szCs w:val="21"/>
          <w:rtl/>
        </w:rPr>
        <w:t xml:space="preserve">AC-PLT-17 — مفاتيح التشفير (FR-PLT-037، BR-PLT-015).</w:t>
      </w:r>
      <w:r>
        <w:rPr>
          <w:rFonts w:ascii="Arial" w:cs="Arial" w:eastAsia="Arial" w:hAnsi="Arial"/>
          <w:b w:val="false"/>
          <w:bCs w:val="false"/>
          <w:sz w:val="21"/>
          <w:szCs w:val="21"/>
          <w:rtl/>
        </w:rPr>
        <w:t xml:space="preserve"> </w:t>
      </w:r>
      <w:r>
        <w:rPr>
          <w:rFonts w:ascii="Arial" w:cs="Arial" w:eastAsia="Arial" w:hAnsi="Arial"/>
          <w:b w:val="false"/>
          <w:bCs w:val="false"/>
          <w:i/>
          <w:iCs/>
          <w:sz w:val="21"/>
          <w:szCs w:val="21"/>
          <w:rtl/>
        </w:rPr>
        <w:t xml:space="preserve">Given</w:t>
      </w:r>
      <w:r>
        <w:rPr>
          <w:rFonts w:ascii="Arial" w:cs="Arial" w:eastAsia="Arial" w:hAnsi="Arial"/>
          <w:b w:val="false"/>
          <w:bCs w:val="false"/>
          <w:sz w:val="21"/>
          <w:szCs w:val="21"/>
          <w:rtl/>
        </w:rPr>
        <w:t xml:space="preserve"> وثائق هوية مشفَّرة بمفتاح بيانات للمشترك ملفوف بمفتاح رئيسي خارج القاعدة. </w:t>
      </w:r>
      <w:r>
        <w:rPr>
          <w:rFonts w:ascii="Arial" w:cs="Arial" w:eastAsia="Arial" w:hAnsi="Arial"/>
          <w:b w:val="false"/>
          <w:bCs w:val="false"/>
          <w:i/>
          <w:iCs/>
          <w:sz w:val="21"/>
          <w:szCs w:val="21"/>
          <w:rtl/>
        </w:rPr>
        <w:t xml:space="preserve">When</w:t>
      </w:r>
      <w:r>
        <w:rPr>
          <w:rFonts w:ascii="Arial" w:cs="Arial" w:eastAsia="Arial" w:hAnsi="Arial"/>
          <w:b w:val="false"/>
          <w:bCs w:val="false"/>
          <w:sz w:val="21"/>
          <w:szCs w:val="21"/>
          <w:rtl/>
        </w:rPr>
        <w:t xml:space="preserve"> يُدوَّر مفتاح البيانات وتعمل مهمة إعادة التشفير، ثم تُقرأ وثيقة قديمة وأخرى جديدة، ثم تُستعاد نسخة احتياطية في بيئة معزولة بلا المفتاح الرئيسي. </w:t>
      </w:r>
      <w:r>
        <w:rPr>
          <w:rFonts w:ascii="Arial" w:cs="Arial" w:eastAsia="Arial" w:hAnsi="Arial"/>
          <w:b w:val="false"/>
          <w:bCs w:val="false"/>
          <w:i/>
          <w:iCs/>
          <w:sz w:val="21"/>
          <w:szCs w:val="21"/>
          <w:rtl/>
        </w:rPr>
        <w:t xml:space="preserve">Then</w:t>
      </w:r>
      <w:r>
        <w:rPr>
          <w:rFonts w:ascii="Arial" w:cs="Arial" w:eastAsia="Arial" w:hAnsi="Arial"/>
          <w:b w:val="false"/>
          <w:bCs w:val="false"/>
          <w:sz w:val="21"/>
          <w:szCs w:val="21"/>
          <w:rtl/>
        </w:rPr>
        <w:t xml:space="preserve"> القراءتان تنجحان؛ أحداث المفاتيح مسجَّلة بشدة عالية؛ والأعمدة المشفَّرة في النسخة المستعادة غير قابلة للقراءة (تفاصيل المفاتيح في DOC-S02).</w:t>
      </w:r>
    </w:p>
    <w:p>
      <w:pPr>
        <w:bidi/>
        <w:spacing w:after="110" w:before="0" w:line="312"/>
      </w:pPr>
      <w:r>
        <w:rPr>
          <w:rFonts w:ascii="Arial" w:cs="Arial" w:eastAsia="Arial" w:hAnsi="Arial"/>
          <w:b/>
          <w:bCs/>
          <w:sz w:val="21"/>
          <w:szCs w:val="21"/>
          <w:rtl/>
        </w:rPr>
        <w:t xml:space="preserve">AC-PLT-18 — الواجهة البرمجية أولًا (FR-PLT-041).</w:t>
      </w:r>
      <w:r>
        <w:rPr>
          <w:rFonts w:ascii="Arial" w:cs="Arial" w:eastAsia="Arial" w:hAnsi="Arial"/>
          <w:b w:val="false"/>
          <w:bCs w:val="false"/>
          <w:sz w:val="21"/>
          <w:szCs w:val="21"/>
          <w:rtl/>
        </w:rPr>
        <w:t xml:space="preserve"> </w:t>
      </w:r>
      <w:r>
        <w:rPr>
          <w:rFonts w:ascii="Arial" w:cs="Arial" w:eastAsia="Arial" w:hAnsi="Arial"/>
          <w:b w:val="false"/>
          <w:bCs w:val="false"/>
          <w:i/>
          <w:iCs/>
          <w:sz w:val="21"/>
          <w:szCs w:val="21"/>
          <w:rtl/>
        </w:rPr>
        <w:t xml:space="preserve">Given</w:t>
      </w:r>
      <w:r>
        <w:rPr>
          <w:rFonts w:ascii="Arial" w:cs="Arial" w:eastAsia="Arial" w:hAnsi="Arial"/>
          <w:b w:val="false"/>
          <w:bCs w:val="false"/>
          <w:sz w:val="21"/>
          <w:szCs w:val="21"/>
          <w:rtl/>
        </w:rPr>
        <w:t xml:space="preserve"> بناءً يولّد وثيقة OpenAPI. </w:t>
      </w:r>
      <w:r>
        <w:rPr>
          <w:rFonts w:ascii="Arial" w:cs="Arial" w:eastAsia="Arial" w:hAnsi="Arial"/>
          <w:b w:val="false"/>
          <w:bCs w:val="false"/>
          <w:i/>
          <w:iCs/>
          <w:sz w:val="21"/>
          <w:szCs w:val="21"/>
          <w:rtl/>
        </w:rPr>
        <w:t xml:space="preserve">When</w:t>
      </w:r>
      <w:r>
        <w:rPr>
          <w:rFonts w:ascii="Arial" w:cs="Arial" w:eastAsia="Arial" w:hAnsi="Arial"/>
          <w:b w:val="false"/>
          <w:bCs w:val="false"/>
          <w:sz w:val="21"/>
          <w:szCs w:val="21"/>
          <w:rtl/>
        </w:rPr>
        <w:t xml:space="preserve"> تُشغَّل اختبارات الواجهة مع تسجيل طلبات الشبكة، وتُضاف نقطة بلا توثيق. </w:t>
      </w:r>
      <w:r>
        <w:rPr>
          <w:rFonts w:ascii="Arial" w:cs="Arial" w:eastAsia="Arial" w:hAnsi="Arial"/>
          <w:b w:val="false"/>
          <w:bCs w:val="false"/>
          <w:i/>
          <w:iCs/>
          <w:sz w:val="21"/>
          <w:szCs w:val="21"/>
          <w:rtl/>
        </w:rPr>
        <w:t xml:space="preserve">Then</w:t>
      </w:r>
      <w:r>
        <w:rPr>
          <w:rFonts w:ascii="Arial" w:cs="Arial" w:eastAsia="Arial" w:hAnsi="Arial"/>
          <w:b w:val="false"/>
          <w:bCs w:val="false"/>
          <w:sz w:val="21"/>
          <w:szCs w:val="21"/>
          <w:rtl/>
        </w:rPr>
        <w:t xml:space="preserve"> كل طلب من الواجهة يطابق مسارًا موثقًا؛ المعرّفات الخارجية GUID؛ والنقطة غير الموثقة تفشل فحص العقد في البناء (العقد في DOC-B04).</w:t>
      </w:r>
    </w:p>
    <w:p>
      <w:pPr>
        <w:bidi/>
        <w:spacing w:after="110" w:before="0" w:line="312"/>
      </w:pPr>
      <w:r>
        <w:rPr>
          <w:rFonts w:ascii="Arial" w:cs="Arial" w:eastAsia="Arial" w:hAnsi="Arial"/>
          <w:b/>
          <w:bCs/>
          <w:sz w:val="21"/>
          <w:szCs w:val="21"/>
          <w:rtl/>
        </w:rPr>
        <w:t xml:space="preserve">AC-PLT-19 — إعدادات المشترك (FR-PLT-043، BR-PLT-018).</w:t>
      </w:r>
      <w:r>
        <w:rPr>
          <w:rFonts w:ascii="Arial" w:cs="Arial" w:eastAsia="Arial" w:hAnsi="Arial"/>
          <w:b w:val="false"/>
          <w:bCs w:val="false"/>
          <w:sz w:val="21"/>
          <w:szCs w:val="21"/>
          <w:rtl/>
        </w:rPr>
        <w:t xml:space="preserve"> </w:t>
      </w:r>
      <w:r>
        <w:rPr>
          <w:rFonts w:ascii="Arial" w:cs="Arial" w:eastAsia="Arial" w:hAnsi="Arial"/>
          <w:b w:val="false"/>
          <w:bCs w:val="false"/>
          <w:i/>
          <w:iCs/>
          <w:sz w:val="21"/>
          <w:szCs w:val="21"/>
          <w:rtl/>
        </w:rPr>
        <w:t xml:space="preserve">Given</w:t>
      </w:r>
      <w:r>
        <w:rPr>
          <w:rFonts w:ascii="Arial" w:cs="Arial" w:eastAsia="Arial" w:hAnsi="Arial"/>
          <w:b w:val="false"/>
          <w:bCs w:val="false"/>
          <w:sz w:val="21"/>
          <w:szCs w:val="21"/>
          <w:rtl/>
        </w:rPr>
        <w:t xml:space="preserve"> الإعدادات الافتراضية. </w:t>
      </w:r>
      <w:r>
        <w:rPr>
          <w:rFonts w:ascii="Arial" w:cs="Arial" w:eastAsia="Arial" w:hAnsi="Arial"/>
          <w:b w:val="false"/>
          <w:bCs w:val="false"/>
          <w:i/>
          <w:iCs/>
          <w:sz w:val="21"/>
          <w:szCs w:val="21"/>
          <w:rtl/>
        </w:rPr>
        <w:t xml:space="preserve">When</w:t>
      </w:r>
      <w:r>
        <w:rPr>
          <w:rFonts w:ascii="Arial" w:cs="Arial" w:eastAsia="Arial" w:hAnsi="Arial"/>
          <w:b w:val="false"/>
          <w:bCs w:val="false"/>
          <w:sz w:val="21"/>
          <w:szCs w:val="21"/>
          <w:rtl/>
        </w:rPr>
        <w:t xml:space="preserve"> يضبط المدير مهلة إعادة الإخفاء 5 ثوانٍ، ثم work.start=08:00 وwork.end=10:00، ثم 07:00 و18:00. </w:t>
      </w:r>
      <w:r>
        <w:rPr>
          <w:rFonts w:ascii="Arial" w:cs="Arial" w:eastAsia="Arial" w:hAnsi="Arial"/>
          <w:b w:val="false"/>
          <w:bCs w:val="false"/>
          <w:i/>
          <w:iCs/>
          <w:sz w:val="21"/>
          <w:szCs w:val="21"/>
          <w:rtl/>
        </w:rPr>
        <w:t xml:space="preserve">Then</w:t>
      </w:r>
      <w:r>
        <w:rPr>
          <w:rFonts w:ascii="Arial" w:cs="Arial" w:eastAsia="Arial" w:hAnsi="Arial"/>
          <w:b w:val="false"/>
          <w:bCs w:val="false"/>
          <w:sz w:val="21"/>
          <w:szCs w:val="21"/>
          <w:rtl/>
        </w:rPr>
        <w:t xml:space="preserve"> الأول مرفوض لأن الحد الأدنى 15؛ الثاني مرفوض مع شرح (أقل من 4 ساعات)؛ الثالث مقبول ومدقَّق بالقيمتين.</w:t>
      </w:r>
    </w:p>
    <w:p>
      <w:pPr>
        <w:bidi/>
        <w:spacing w:after="110" w:before="0" w:line="312"/>
      </w:pPr>
      <w:r>
        <w:rPr>
          <w:rFonts w:ascii="Arial" w:cs="Arial" w:eastAsia="Arial" w:hAnsi="Arial"/>
          <w:b/>
          <w:bCs/>
          <w:sz w:val="21"/>
          <w:szCs w:val="21"/>
          <w:rtl/>
        </w:rPr>
        <w:t xml:space="preserve">AC-PLT-20 — المهام الخلفية (FR-PLT-044، FR-NTF-016).</w:t>
      </w:r>
      <w:r>
        <w:rPr>
          <w:rFonts w:ascii="Arial" w:cs="Arial" w:eastAsia="Arial" w:hAnsi="Arial"/>
          <w:b w:val="false"/>
          <w:bCs w:val="false"/>
          <w:sz w:val="21"/>
          <w:szCs w:val="21"/>
          <w:rtl/>
        </w:rPr>
        <w:t xml:space="preserve"> </w:t>
      </w:r>
      <w:r>
        <w:rPr>
          <w:rFonts w:ascii="Arial" w:cs="Arial" w:eastAsia="Arial" w:hAnsi="Arial"/>
          <w:b w:val="false"/>
          <w:bCs w:val="false"/>
          <w:i/>
          <w:iCs/>
          <w:sz w:val="21"/>
          <w:szCs w:val="21"/>
          <w:rtl/>
        </w:rPr>
        <w:t xml:space="preserve">Given</w:t>
      </w:r>
      <w:r>
        <w:rPr>
          <w:rFonts w:ascii="Arial" w:cs="Arial" w:eastAsia="Arial" w:hAnsi="Arial"/>
          <w:b w:val="false"/>
          <w:bCs w:val="false"/>
          <w:sz w:val="21"/>
          <w:szCs w:val="21"/>
          <w:rtl/>
        </w:rPr>
        <w:t xml:space="preserve"> مهمة التنبيه اليومية لمشترك تعمل بحساب الخدمة IsSystemUser. </w:t>
      </w:r>
      <w:r>
        <w:rPr>
          <w:rFonts w:ascii="Arial" w:cs="Arial" w:eastAsia="Arial" w:hAnsi="Arial"/>
          <w:b w:val="false"/>
          <w:bCs w:val="false"/>
          <w:i/>
          <w:iCs/>
          <w:sz w:val="21"/>
          <w:szCs w:val="21"/>
          <w:rtl/>
        </w:rPr>
        <w:t xml:space="preserve">When</w:t>
      </w:r>
      <w:r>
        <w:rPr>
          <w:rFonts w:ascii="Arial" w:cs="Arial" w:eastAsia="Arial" w:hAnsi="Arial"/>
          <w:b w:val="false"/>
          <w:bCs w:val="false"/>
          <w:sz w:val="21"/>
          <w:szCs w:val="21"/>
          <w:rtl/>
        </w:rPr>
        <w:t xml:space="preserve"> تفشل في تشغيل 02:00 بخطأ مصطنع، ثم تُوقف ثلاثة أيام وتُشغَّل. </w:t>
      </w:r>
      <w:r>
        <w:rPr>
          <w:rFonts w:ascii="Arial" w:cs="Arial" w:eastAsia="Arial" w:hAnsi="Arial"/>
          <w:b w:val="false"/>
          <w:bCs w:val="false"/>
          <w:i/>
          <w:iCs/>
          <w:sz w:val="21"/>
          <w:szCs w:val="21"/>
          <w:rtl/>
        </w:rPr>
        <w:t xml:space="preserve">Then</w:t>
      </w:r>
      <w:r>
        <w:rPr>
          <w:rFonts w:ascii="Arial" w:cs="Arial" w:eastAsia="Arial" w:hAnsi="Arial"/>
          <w:b w:val="false"/>
          <w:bCs w:val="false"/>
          <w:sz w:val="21"/>
          <w:szCs w:val="21"/>
          <w:rtl/>
        </w:rPr>
        <w:t xml:space="preserve"> يظهر الفشل في شاشة المهام بمدته ونتيجته وتُعاد المحاولة خلال ساعة؛ وبعد الإيقاف لا تصل ثلاث نسخ من التنبيه نفسه.</w:t>
      </w:r>
    </w:p>
    <w:p>
      <w:pPr>
        <w:bidi/>
        <w:spacing w:after="110" w:before="0" w:line="312"/>
      </w:pPr>
      <w:r>
        <w:rPr>
          <w:rFonts w:ascii="Arial" w:cs="Arial" w:eastAsia="Arial" w:hAnsi="Arial"/>
          <w:b/>
          <w:bCs/>
          <w:sz w:val="21"/>
          <w:szCs w:val="21"/>
          <w:rtl/>
        </w:rPr>
        <w:t xml:space="preserve">AC-PLT-21 — العنوان الفرعي وسياق المشترك (FR-PLT-046).</w:t>
      </w:r>
      <w:r>
        <w:rPr>
          <w:rFonts w:ascii="Arial" w:cs="Arial" w:eastAsia="Arial" w:hAnsi="Arial"/>
          <w:b w:val="false"/>
          <w:bCs w:val="false"/>
          <w:sz w:val="21"/>
          <w:szCs w:val="21"/>
          <w:rtl/>
        </w:rPr>
        <w:t xml:space="preserve"> </w:t>
      </w:r>
      <w:r>
        <w:rPr>
          <w:rFonts w:ascii="Arial" w:cs="Arial" w:eastAsia="Arial" w:hAnsi="Arial"/>
          <w:b w:val="false"/>
          <w:bCs w:val="false"/>
          <w:i/>
          <w:iCs/>
          <w:sz w:val="21"/>
          <w:szCs w:val="21"/>
          <w:rtl/>
        </w:rPr>
        <w:t xml:space="preserve">Given</w:t>
      </w:r>
      <w:r>
        <w:rPr>
          <w:rFonts w:ascii="Arial" w:cs="Arial" w:eastAsia="Arial" w:hAnsi="Arial"/>
          <w:b w:val="false"/>
          <w:bCs w:val="false"/>
          <w:sz w:val="21"/>
          <w:szCs w:val="21"/>
          <w:rtl/>
        </w:rPr>
        <w:t xml:space="preserve"> مشتركين </w:t>
      </w:r>
      <w:r>
        <w:rPr>
          <w:rFonts w:ascii="Courier New" w:cs="Courier New" w:eastAsia="Courier New" w:hAnsi="Courier New"/>
          <w:b w:val="false"/>
          <w:bCs w:val="false"/>
          <w:color w:val="1F2937"/>
          <w:sz w:val="18"/>
          <w:szCs w:val="18"/>
          <w:shd w:fill="F1F3F5" w:color="auto" w:val="clear"/>
          <w:rtl/>
        </w:rPr>
        <w:t xml:space="preserve">‎alpha‎</w:t>
      </w:r>
      <w:r>
        <w:rPr>
          <w:rFonts w:ascii="Arial" w:cs="Arial" w:eastAsia="Arial" w:hAnsi="Arial"/>
          <w:b w:val="false"/>
          <w:bCs w:val="false"/>
          <w:sz w:val="21"/>
          <w:szCs w:val="21"/>
          <w:rtl/>
        </w:rPr>
        <w:t xml:space="preserve"> و</w:t>
      </w:r>
      <w:r>
        <w:rPr>
          <w:rFonts w:ascii="Courier New" w:cs="Courier New" w:eastAsia="Courier New" w:hAnsi="Courier New"/>
          <w:b w:val="false"/>
          <w:bCs w:val="false"/>
          <w:color w:val="1F2937"/>
          <w:sz w:val="18"/>
          <w:szCs w:val="18"/>
          <w:shd w:fill="F1F3F5" w:color="auto" w:val="clear"/>
          <w:rtl/>
        </w:rPr>
        <w:t xml:space="preserve">‎beta‎</w:t>
      </w:r>
      <w:r>
        <w:rPr>
          <w:rFonts w:ascii="Arial" w:cs="Arial" w:eastAsia="Arial" w:hAnsi="Arial"/>
          <w:b w:val="false"/>
          <w:bCs w:val="false"/>
          <w:sz w:val="21"/>
          <w:szCs w:val="21"/>
          <w:rtl/>
        </w:rPr>
        <w:t xml:space="preserve">، ومستخدمًا له جلسة في </w:t>
      </w:r>
      <w:r>
        <w:rPr>
          <w:rFonts w:ascii="Courier New" w:cs="Courier New" w:eastAsia="Courier New" w:hAnsi="Courier New"/>
          <w:b w:val="false"/>
          <w:bCs w:val="false"/>
          <w:color w:val="1F2937"/>
          <w:sz w:val="18"/>
          <w:szCs w:val="18"/>
          <w:shd w:fill="F1F3F5" w:color="auto" w:val="clear"/>
          <w:rtl/>
        </w:rPr>
        <w:t xml:space="preserve">‎alpha.bankfas.com‎</w:t>
      </w:r>
      <w:r>
        <w:rPr>
          <w:rFonts w:ascii="Arial" w:cs="Arial" w:eastAsia="Arial" w:hAnsi="Arial"/>
          <w:b w:val="false"/>
          <w:bCs w:val="false"/>
          <w:sz w:val="21"/>
          <w:szCs w:val="21"/>
          <w:rtl/>
        </w:rPr>
        <w:t xml:space="preserve">. </w:t>
      </w:r>
      <w:r>
        <w:rPr>
          <w:rFonts w:ascii="Arial" w:cs="Arial" w:eastAsia="Arial" w:hAnsi="Arial"/>
          <w:b w:val="false"/>
          <w:bCs w:val="false"/>
          <w:i/>
          <w:iCs/>
          <w:sz w:val="21"/>
          <w:szCs w:val="21"/>
          <w:rtl/>
        </w:rPr>
        <w:t xml:space="preserve">When</w:t>
      </w:r>
      <w:r>
        <w:rPr>
          <w:rFonts w:ascii="Arial" w:cs="Arial" w:eastAsia="Arial" w:hAnsi="Arial"/>
          <w:b w:val="false"/>
          <w:bCs w:val="false"/>
          <w:sz w:val="21"/>
          <w:szCs w:val="21"/>
          <w:rtl/>
        </w:rPr>
        <w:t xml:space="preserve"> يرسل رمز جلسته إلى </w:t>
      </w:r>
      <w:r>
        <w:rPr>
          <w:rFonts w:ascii="Courier New" w:cs="Courier New" w:eastAsia="Courier New" w:hAnsi="Courier New"/>
          <w:b w:val="false"/>
          <w:bCs w:val="false"/>
          <w:color w:val="1F2937"/>
          <w:sz w:val="18"/>
          <w:szCs w:val="18"/>
          <w:shd w:fill="F1F3F5" w:color="auto" w:val="clear"/>
          <w:rtl/>
        </w:rPr>
        <w:t xml:space="preserve">‎beta.bankfas.com‎</w:t>
      </w:r>
      <w:r>
        <w:rPr>
          <w:rFonts w:ascii="Arial" w:cs="Arial" w:eastAsia="Arial" w:hAnsi="Arial"/>
          <w:b w:val="false"/>
          <w:bCs w:val="false"/>
          <w:sz w:val="21"/>
          <w:szCs w:val="21"/>
          <w:rtl/>
        </w:rPr>
        <w:t xml:space="preserve">، ثم يُفتح عنوان فرعي غير معروف، ثم يُسجَّل مشترك برمز </w:t>
      </w:r>
      <w:r>
        <w:rPr>
          <w:rFonts w:ascii="Courier New" w:cs="Courier New" w:eastAsia="Courier New" w:hAnsi="Courier New"/>
          <w:b w:val="false"/>
          <w:bCs w:val="false"/>
          <w:color w:val="1F2937"/>
          <w:sz w:val="18"/>
          <w:szCs w:val="18"/>
          <w:shd w:fill="F1F3F5" w:color="auto" w:val="clear"/>
          <w:rtl/>
        </w:rPr>
        <w:t xml:space="preserve">‎www‎</w:t>
      </w:r>
      <w:r>
        <w:rPr>
          <w:rFonts w:ascii="Arial" w:cs="Arial" w:eastAsia="Arial" w:hAnsi="Arial"/>
          <w:b w:val="false"/>
          <w:bCs w:val="false"/>
          <w:sz w:val="21"/>
          <w:szCs w:val="21"/>
          <w:rtl/>
        </w:rPr>
        <w:t xml:space="preserve">، ثم يُغيَّر رمز </w:t>
      </w:r>
      <w:r>
        <w:rPr>
          <w:rFonts w:ascii="Courier New" w:cs="Courier New" w:eastAsia="Courier New" w:hAnsi="Courier New"/>
          <w:b w:val="false"/>
          <w:bCs w:val="false"/>
          <w:color w:val="1F2937"/>
          <w:sz w:val="18"/>
          <w:szCs w:val="18"/>
          <w:shd w:fill="F1F3F5" w:color="auto" w:val="clear"/>
          <w:rtl/>
        </w:rPr>
        <w:t xml:space="preserve">‎alpha‎</w:t>
      </w:r>
      <w:r>
        <w:rPr>
          <w:rFonts w:ascii="Arial" w:cs="Arial" w:eastAsia="Arial" w:hAnsi="Arial"/>
          <w:b w:val="false"/>
          <w:bCs w:val="false"/>
          <w:sz w:val="21"/>
          <w:szCs w:val="21"/>
          <w:rtl/>
        </w:rPr>
        <w:t xml:space="preserve"> بعد تفعيله. </w:t>
      </w:r>
      <w:r>
        <w:rPr>
          <w:rFonts w:ascii="Arial" w:cs="Arial" w:eastAsia="Arial" w:hAnsi="Arial"/>
          <w:b w:val="false"/>
          <w:bCs w:val="false"/>
          <w:i/>
          <w:iCs/>
          <w:sz w:val="21"/>
          <w:szCs w:val="21"/>
          <w:rtl/>
        </w:rPr>
        <w:t xml:space="preserve">Then</w:t>
      </w:r>
      <w:r>
        <w:rPr>
          <w:rFonts w:ascii="Arial" w:cs="Arial" w:eastAsia="Arial" w:hAnsi="Arial"/>
          <w:b w:val="false"/>
          <w:bCs w:val="false"/>
          <w:sz w:val="21"/>
          <w:szCs w:val="21"/>
          <w:rtl/>
        </w:rPr>
        <w:t xml:space="preserve"> الطلب الأول مرفوض لأن الجلسة لا تربط مشتركًا آخر (50003، T18)؛ العنوان المجهول يعطي صفحة محايدة لا تكشف وجود مشترك؛ والرمز المحجوز والتغيير مرفوضان.</w:t>
      </w:r>
    </w:p>
    <w:p>
      <w:pPr>
        <w:bidi/>
        <w:spacing w:after="110" w:before="0" w:line="312"/>
      </w:pPr>
      <w:r>
        <w:rPr>
          <w:rFonts w:ascii="Arial" w:cs="Arial" w:eastAsia="Arial" w:hAnsi="Arial"/>
          <w:b/>
          <w:bCs/>
          <w:sz w:val="21"/>
          <w:szCs w:val="21"/>
          <w:rtl/>
        </w:rPr>
        <w:t xml:space="preserve">AC-PLT-22 — طابور الأحداث (FR-PLT-042؛ S1).</w:t>
      </w:r>
      <w:r>
        <w:rPr>
          <w:rFonts w:ascii="Arial" w:cs="Arial" w:eastAsia="Arial" w:hAnsi="Arial"/>
          <w:b w:val="false"/>
          <w:bCs w:val="false"/>
          <w:sz w:val="21"/>
          <w:szCs w:val="21"/>
          <w:rtl/>
        </w:rPr>
        <w:t xml:space="preserve"> </w:t>
      </w:r>
      <w:r>
        <w:rPr>
          <w:rFonts w:ascii="Arial" w:cs="Arial" w:eastAsia="Arial" w:hAnsi="Arial"/>
          <w:b w:val="false"/>
          <w:bCs w:val="false"/>
          <w:i/>
          <w:iCs/>
          <w:sz w:val="21"/>
          <w:szCs w:val="21"/>
          <w:rtl/>
        </w:rPr>
        <w:t xml:space="preserve">Given</w:t>
      </w:r>
      <w:r>
        <w:rPr>
          <w:rFonts w:ascii="Arial" w:cs="Arial" w:eastAsia="Arial" w:hAnsi="Arial"/>
          <w:b w:val="false"/>
          <w:bCs w:val="false"/>
          <w:sz w:val="21"/>
          <w:szCs w:val="21"/>
          <w:rtl/>
        </w:rPr>
        <w:t xml:space="preserve"> شركة جديدة. </w:t>
      </w:r>
      <w:r>
        <w:rPr>
          <w:rFonts w:ascii="Arial" w:cs="Arial" w:eastAsia="Arial" w:hAnsi="Arial"/>
          <w:b w:val="false"/>
          <w:bCs w:val="false"/>
          <w:i/>
          <w:iCs/>
          <w:sz w:val="21"/>
          <w:szCs w:val="21"/>
          <w:rtl/>
        </w:rPr>
        <w:t xml:space="preserve">When</w:t>
      </w:r>
      <w:r>
        <w:rPr>
          <w:rFonts w:ascii="Arial" w:cs="Arial" w:eastAsia="Arial" w:hAnsi="Arial"/>
          <w:b w:val="false"/>
          <w:bCs w:val="false"/>
          <w:sz w:val="21"/>
          <w:szCs w:val="21"/>
          <w:rtl/>
        </w:rPr>
        <w:t xml:space="preserve"> تُحفظ بنجاح، ثم يُعاد الحفظ لشركة أخرى مع فشل مصطنع بعد كتابة الحدث. </w:t>
      </w:r>
      <w:r>
        <w:rPr>
          <w:rFonts w:ascii="Arial" w:cs="Arial" w:eastAsia="Arial" w:hAnsi="Arial"/>
          <w:b w:val="false"/>
          <w:bCs w:val="false"/>
          <w:i/>
          <w:iCs/>
          <w:sz w:val="21"/>
          <w:szCs w:val="21"/>
          <w:rtl/>
        </w:rPr>
        <w:t xml:space="preserve">Then</w:t>
      </w:r>
      <w:r>
        <w:rPr>
          <w:rFonts w:ascii="Arial" w:cs="Arial" w:eastAsia="Arial" w:hAnsi="Arial"/>
          <w:b w:val="false"/>
          <w:bCs w:val="false"/>
          <w:sz w:val="21"/>
          <w:szCs w:val="21"/>
          <w:rtl/>
        </w:rPr>
        <w:t xml:space="preserve"> يدخل </w:t>
      </w:r>
      <w:r>
        <w:rPr>
          <w:rFonts w:ascii="Courier New" w:cs="Courier New" w:eastAsia="Courier New" w:hAnsi="Courier New"/>
          <w:b w:val="false"/>
          <w:bCs w:val="false"/>
          <w:color w:val="1F2937"/>
          <w:sz w:val="18"/>
          <w:szCs w:val="18"/>
          <w:shd w:fill="F1F3F5" w:color="auto" w:val="clear"/>
          <w:rtl/>
        </w:rPr>
        <w:t xml:space="preserve">‎company.created‎</w:t>
      </w:r>
      <w:r>
        <w:rPr>
          <w:rFonts w:ascii="Arial" w:cs="Arial" w:eastAsia="Arial" w:hAnsi="Arial"/>
          <w:b w:val="false"/>
          <w:bCs w:val="false"/>
          <w:sz w:val="21"/>
          <w:szCs w:val="21"/>
          <w:rtl/>
        </w:rPr>
        <w:t xml:space="preserve"> الطابور في معاملة الحفظ نفسها وحمولته بلا أرقام هويات؛ وفي الحالة الثانية لا تبقى الشركة ولا الحدث.</w:t>
      </w:r>
    </w:p>
    <w:p>
      <w:pPr>
        <w:pStyle w:val="Heading2"/>
        <w:bidi/>
      </w:pPr>
      <w:bookmarkStart w:name="_sec7" w:id="7"/>
      <w:r>
        <w:rPr>
          <w:rFonts w:ascii="Arial" w:cs="Arial" w:eastAsia="Arial" w:hAnsi="Arial"/>
          <w:b/>
          <w:bCs/>
          <w:color w:val="2B5C8A"/>
          <w:sz w:val="26"/>
          <w:szCs w:val="26"/>
          <w:rtl/>
        </w:rPr>
        <w:t xml:space="preserve">3.2 الهيكل المؤسسي (ORG)</w:t>
      </w:r>
      <w:bookmarkEnd w:id="7"/>
    </w:p>
    <w:p>
      <w:pPr>
        <w:bidi/>
        <w:spacing w:after="110" w:before="0" w:line="312"/>
      </w:pPr>
      <w:r>
        <w:rPr>
          <w:rFonts w:ascii="Arial" w:cs="Arial" w:eastAsia="Arial" w:hAnsi="Arial"/>
          <w:b/>
          <w:bCs/>
          <w:sz w:val="21"/>
          <w:szCs w:val="21"/>
          <w:rtl/>
        </w:rPr>
        <w:t xml:space="preserve">AC-ORG-4 — الشركة وهرمها ومرآتها (FR-ORG-001 إلى FR-ORG-004، FR-ORG-008، FR-PTY-003).</w:t>
      </w:r>
      <w:r>
        <w:rPr>
          <w:rFonts w:ascii="Arial" w:cs="Arial" w:eastAsia="Arial" w:hAnsi="Arial"/>
          <w:b w:val="false"/>
          <w:bCs w:val="false"/>
          <w:sz w:val="21"/>
          <w:szCs w:val="21"/>
          <w:rtl/>
        </w:rPr>
        <w:t xml:space="preserve"> </w:t>
      </w:r>
      <w:r>
        <w:rPr>
          <w:rFonts w:ascii="Arial" w:cs="Arial" w:eastAsia="Arial" w:hAnsi="Arial"/>
          <w:b w:val="false"/>
          <w:bCs w:val="false"/>
          <w:i/>
          <w:iCs/>
          <w:sz w:val="21"/>
          <w:szCs w:val="21"/>
          <w:rtl/>
        </w:rPr>
        <w:t xml:space="preserve">Given</w:t>
      </w:r>
      <w:r>
        <w:rPr>
          <w:rFonts w:ascii="Arial" w:cs="Arial" w:eastAsia="Arial" w:hAnsi="Arial"/>
          <w:b w:val="false"/>
          <w:bCs w:val="false"/>
          <w:sz w:val="21"/>
          <w:szCs w:val="21"/>
          <w:rtl/>
        </w:rPr>
        <w:t xml:space="preserve"> مشتركًا دولته SA وشكلين قانونيين مبذورين وشركة A. </w:t>
      </w:r>
      <w:r>
        <w:rPr>
          <w:rFonts w:ascii="Arial" w:cs="Arial" w:eastAsia="Arial" w:hAnsi="Arial"/>
          <w:b w:val="false"/>
          <w:bCs w:val="false"/>
          <w:i/>
          <w:iCs/>
          <w:sz w:val="21"/>
          <w:szCs w:val="21"/>
          <w:rtl/>
        </w:rPr>
        <w:t xml:space="preserve">When</w:t>
      </w:r>
      <w:r>
        <w:rPr>
          <w:rFonts w:ascii="Arial" w:cs="Arial" w:eastAsia="Arial" w:hAnsi="Arial"/>
          <w:b w:val="false"/>
          <w:bCs w:val="false"/>
          <w:sz w:val="21"/>
          <w:szCs w:val="21"/>
          <w:rtl/>
        </w:rPr>
        <w:t xml:space="preserve"> تُنشأ B برمز A نفسه، ثم برمز جديد وعلم «قابضة» وعملة SAR، ثم تُجعل A أمًّا لـ B ثم B أمًّا لـ A، ثم تُعطى شركة C عملة غير معرّفة، ثم يُعدَّل اسم B، ثم يُعطَّل الشكل القانوني المستعمل. </w:t>
      </w:r>
      <w:r>
        <w:rPr>
          <w:rFonts w:ascii="Arial" w:cs="Arial" w:eastAsia="Arial" w:hAnsi="Arial"/>
          <w:b w:val="false"/>
          <w:bCs w:val="false"/>
          <w:i/>
          <w:iCs/>
          <w:sz w:val="21"/>
          <w:szCs w:val="21"/>
          <w:rtl/>
        </w:rPr>
        <w:t xml:space="preserve">Then</w:t>
      </w:r>
      <w:r>
        <w:rPr>
          <w:rFonts w:ascii="Arial" w:cs="Arial" w:eastAsia="Arial" w:hAnsi="Arial"/>
          <w:b w:val="false"/>
          <w:bCs w:val="false"/>
          <w:sz w:val="21"/>
          <w:szCs w:val="21"/>
          <w:rtl/>
        </w:rPr>
        <w:t xml:space="preserve"> الرمز المكرر مرفوض؛ B قابضة دون تغيير شكلها وتنشأ لها Party مرآة؛ الحلقة مرفوضة؛ العملة غير المعرّفة مرفوضة؛ الاسم الجديد يظهر في المرآة التي لا تُدمج ولا تُحذف؛ وتعطيل الشكل يخفيه من الاختيار ولا يمس B.</w:t>
      </w:r>
    </w:p>
    <w:p>
      <w:pPr>
        <w:bidi/>
        <w:spacing w:after="110" w:before="0" w:line="312"/>
      </w:pPr>
      <w:r>
        <w:rPr>
          <w:rFonts w:ascii="Arial" w:cs="Arial" w:eastAsia="Arial" w:hAnsi="Arial"/>
          <w:b/>
          <w:bCs/>
          <w:sz w:val="21"/>
          <w:szCs w:val="21"/>
          <w:rtl/>
        </w:rPr>
        <w:t xml:space="preserve">AC-ORG-5 — السنة المالية والضريبة (FR-ORG-006، FR-ORG-007).</w:t>
      </w:r>
      <w:r>
        <w:rPr>
          <w:rFonts w:ascii="Arial" w:cs="Arial" w:eastAsia="Arial" w:hAnsi="Arial"/>
          <w:b w:val="false"/>
          <w:bCs w:val="false"/>
          <w:sz w:val="21"/>
          <w:szCs w:val="21"/>
          <w:rtl/>
        </w:rPr>
        <w:t xml:space="preserve"> </w:t>
      </w:r>
      <w:r>
        <w:rPr>
          <w:rFonts w:ascii="Arial" w:cs="Arial" w:eastAsia="Arial" w:hAnsi="Arial"/>
          <w:b w:val="false"/>
          <w:bCs w:val="false"/>
          <w:i/>
          <w:iCs/>
          <w:sz w:val="21"/>
          <w:szCs w:val="21"/>
          <w:rtl/>
        </w:rPr>
        <w:t xml:space="preserve">Given</w:t>
      </w:r>
      <w:r>
        <w:rPr>
          <w:rFonts w:ascii="Arial" w:cs="Arial" w:eastAsia="Arial" w:hAnsi="Arial"/>
          <w:b w:val="false"/>
          <w:bCs w:val="false"/>
          <w:sz w:val="21"/>
          <w:szCs w:val="21"/>
          <w:rtl/>
        </w:rPr>
        <w:t xml:space="preserve"> شركة نهاية سنتها المالية 30 يونيو، ونسبة ضريبة توضيحية 5% حتى 2026-06-30. </w:t>
      </w:r>
      <w:r>
        <w:rPr>
          <w:rFonts w:ascii="Arial" w:cs="Arial" w:eastAsia="Arial" w:hAnsi="Arial"/>
          <w:b w:val="false"/>
          <w:bCs w:val="false"/>
          <w:i/>
          <w:iCs/>
          <w:sz w:val="21"/>
          <w:szCs w:val="21"/>
          <w:rtl/>
        </w:rPr>
        <w:t xml:space="preserve">When</w:t>
      </w:r>
      <w:r>
        <w:rPr>
          <w:rFonts w:ascii="Arial" w:cs="Arial" w:eastAsia="Arial" w:hAnsi="Arial"/>
          <w:b w:val="false"/>
          <w:bCs w:val="false"/>
          <w:sz w:val="21"/>
          <w:szCs w:val="21"/>
          <w:rtl/>
        </w:rPr>
        <w:t xml:space="preserve"> تُضاف نسبة 15% من 2026-07-01، ويُسأل عن الفترة المالية 2026 وعن النسبة في 2026-06-15 وفي 2026-07-01. </w:t>
      </w:r>
      <w:r>
        <w:rPr>
          <w:rFonts w:ascii="Arial" w:cs="Arial" w:eastAsia="Arial" w:hAnsi="Arial"/>
          <w:b w:val="false"/>
          <w:bCs w:val="false"/>
          <w:i/>
          <w:iCs/>
          <w:sz w:val="21"/>
          <w:szCs w:val="21"/>
          <w:rtl/>
        </w:rPr>
        <w:t xml:space="preserve">Then</w:t>
      </w:r>
      <w:r>
        <w:rPr>
          <w:rFonts w:ascii="Arial" w:cs="Arial" w:eastAsia="Arial" w:hAnsi="Arial"/>
          <w:b w:val="false"/>
          <w:bCs w:val="false"/>
          <w:sz w:val="21"/>
          <w:szCs w:val="21"/>
          <w:rtl/>
        </w:rPr>
        <w:t xml:space="preserve"> الفترة من 2025-07-01 إلى 2026-06-30؛ النسبتان 5% ثم 15%؛ الصف السابق يُغلق في 2026-06-30؛ ولا نسبة مضمَّنة في الكود.</w:t>
      </w:r>
    </w:p>
    <w:p>
      <w:pPr>
        <w:bidi/>
        <w:spacing w:after="110" w:before="0" w:line="312"/>
      </w:pPr>
      <w:r>
        <w:rPr>
          <w:rFonts w:ascii="Arial" w:cs="Arial" w:eastAsia="Arial" w:hAnsi="Arial"/>
          <w:b/>
          <w:bCs/>
          <w:sz w:val="21"/>
          <w:szCs w:val="21"/>
          <w:rtl/>
        </w:rPr>
        <w:t xml:space="preserve">AC-ORG-6 — شركة بمستنداتها وتنبيه انتهائها (FR-ORG-011، FR-ORG-012، FR-ORG-013، FR-PLT-038؛ خروج S1).</w:t>
      </w:r>
      <w:r>
        <w:rPr>
          <w:rFonts w:ascii="Arial" w:cs="Arial" w:eastAsia="Arial" w:hAnsi="Arial"/>
          <w:b w:val="false"/>
          <w:bCs w:val="false"/>
          <w:sz w:val="21"/>
          <w:szCs w:val="21"/>
          <w:rtl/>
        </w:rPr>
        <w:t xml:space="preserve"> </w:t>
      </w:r>
      <w:r>
        <w:rPr>
          <w:rFonts w:ascii="Arial" w:cs="Arial" w:eastAsia="Arial" w:hAnsi="Arial"/>
          <w:b w:val="false"/>
          <w:bCs w:val="false"/>
          <w:i/>
          <w:iCs/>
          <w:sz w:val="21"/>
          <w:szCs w:val="21"/>
          <w:rtl/>
        </w:rPr>
        <w:t xml:space="preserve">Given</w:t>
      </w:r>
      <w:r>
        <w:rPr>
          <w:rFonts w:ascii="Arial" w:cs="Arial" w:eastAsia="Arial" w:hAnsi="Arial"/>
          <w:b w:val="false"/>
          <w:bCs w:val="false"/>
          <w:sz w:val="21"/>
          <w:szCs w:val="21"/>
          <w:rtl/>
        </w:rPr>
        <w:t xml:space="preserve"> اليوم 2026-10-12، وشركة C1، وأنواع المستندات المؤسسية المبذورة، وعتبات 90/60/30/7. </w:t>
      </w:r>
      <w:r>
        <w:rPr>
          <w:rFonts w:ascii="Arial" w:cs="Arial" w:eastAsia="Arial" w:hAnsi="Arial"/>
          <w:b w:val="false"/>
          <w:bCs w:val="false"/>
          <w:i/>
          <w:iCs/>
          <w:sz w:val="21"/>
          <w:szCs w:val="21"/>
          <w:rtl/>
        </w:rPr>
        <w:t xml:space="preserve">When</w:t>
      </w:r>
      <w:r>
        <w:rPr>
          <w:rFonts w:ascii="Arial" w:cs="Arial" w:eastAsia="Arial" w:hAnsi="Arial"/>
          <w:b w:val="false"/>
          <w:bCs w:val="false"/>
          <w:sz w:val="21"/>
          <w:szCs w:val="21"/>
          <w:rtl/>
        </w:rPr>
        <w:t xml:space="preserve"> يُرفع سجل تجاري من تبويب الشركة ينتهي 2026-11-06، وشهادة زكاة من شاشة السجل العام، ويضيف المشترك نوعًا جديدًا في الكتالوج، وتعمل مهمة التنبيه مرتين في اليوم نفسه، ثم يُجدَّد السجل إلى 2027-11-06. </w:t>
      </w:r>
      <w:r>
        <w:rPr>
          <w:rFonts w:ascii="Arial" w:cs="Arial" w:eastAsia="Arial" w:hAnsi="Arial"/>
          <w:b w:val="false"/>
          <w:bCs w:val="false"/>
          <w:i/>
          <w:iCs/>
          <w:sz w:val="21"/>
          <w:szCs w:val="21"/>
          <w:rtl/>
        </w:rPr>
        <w:t xml:space="preserve">Then</w:t>
      </w:r>
      <w:r>
        <w:rPr>
          <w:rFonts w:ascii="Arial" w:cs="Arial" w:eastAsia="Arial" w:hAnsi="Arial"/>
          <w:b w:val="false"/>
          <w:bCs w:val="false"/>
          <w:sz w:val="21"/>
          <w:szCs w:val="21"/>
          <w:rtl/>
        </w:rPr>
        <w:t xml:space="preserve"> المستندان يظهران في الشاشتين؛ النوع الجديد يظهر في شاشة الرفع دون نشر؛ السجل «تنتهي قريبًا» (25 يومًا) مع تنبيه واحد بعتبة 30 لا يتكرر؛ والتجديد يعيد ضبط العتبات.</w:t>
      </w:r>
    </w:p>
    <w:p>
      <w:pPr>
        <w:bidi/>
        <w:spacing w:after="110" w:before="0" w:line="312"/>
      </w:pPr>
      <w:r>
        <w:rPr>
          <w:rFonts w:ascii="Arial" w:cs="Arial" w:eastAsia="Arial" w:hAnsi="Arial"/>
          <w:b/>
          <w:bCs/>
          <w:sz w:val="21"/>
          <w:szCs w:val="21"/>
          <w:rtl/>
        </w:rPr>
        <w:t xml:space="preserve">AC-ORG-7 — عنوان الشركة وأرشفتها (FR-ORG-009، FR-ORG-010).</w:t>
      </w:r>
      <w:r>
        <w:rPr>
          <w:rFonts w:ascii="Arial" w:cs="Arial" w:eastAsia="Arial" w:hAnsi="Arial"/>
          <w:b w:val="false"/>
          <w:bCs w:val="false"/>
          <w:sz w:val="21"/>
          <w:szCs w:val="21"/>
          <w:rtl/>
        </w:rPr>
        <w:t xml:space="preserve"> </w:t>
      </w:r>
      <w:r>
        <w:rPr>
          <w:rFonts w:ascii="Arial" w:cs="Arial" w:eastAsia="Arial" w:hAnsi="Arial"/>
          <w:b w:val="false"/>
          <w:bCs w:val="false"/>
          <w:i/>
          <w:iCs/>
          <w:sz w:val="21"/>
          <w:szCs w:val="21"/>
          <w:rtl/>
        </w:rPr>
        <w:t xml:space="preserve">Given</w:t>
      </w:r>
      <w:r>
        <w:rPr>
          <w:rFonts w:ascii="Arial" w:cs="Arial" w:eastAsia="Arial" w:hAnsi="Arial"/>
          <w:b w:val="false"/>
          <w:bCs w:val="false"/>
          <w:sz w:val="21"/>
          <w:szCs w:val="21"/>
          <w:rtl/>
        </w:rPr>
        <w:t xml:space="preserve"> شركة C2 لها عنوان وطني عبر مرآتها، ومستخدمًا نطاقه C2 وحدها. </w:t>
      </w:r>
      <w:r>
        <w:rPr>
          <w:rFonts w:ascii="Arial" w:cs="Arial" w:eastAsia="Arial" w:hAnsi="Arial"/>
          <w:b w:val="false"/>
          <w:bCs w:val="false"/>
          <w:i/>
          <w:iCs/>
          <w:sz w:val="21"/>
          <w:szCs w:val="21"/>
          <w:rtl/>
        </w:rPr>
        <w:t xml:space="preserve">When</w:t>
      </w:r>
      <w:r>
        <w:rPr>
          <w:rFonts w:ascii="Arial" w:cs="Arial" w:eastAsia="Arial" w:hAnsi="Arial"/>
          <w:b w:val="false"/>
          <w:bCs w:val="false"/>
          <w:sz w:val="21"/>
          <w:szCs w:val="21"/>
          <w:rtl/>
        </w:rPr>
        <w:t xml:space="preserve"> يُعدَّل العنوان، ثم يحاول المدير أرشفة C2، ثم يوسّع نطاق المستخدم ويعيد المحاولة. </w:t>
      </w:r>
      <w:r>
        <w:rPr>
          <w:rFonts w:ascii="Arial" w:cs="Arial" w:eastAsia="Arial" w:hAnsi="Arial"/>
          <w:b w:val="false"/>
          <w:bCs w:val="false"/>
          <w:i/>
          <w:iCs/>
          <w:sz w:val="21"/>
          <w:szCs w:val="21"/>
          <w:rtl/>
        </w:rPr>
        <w:t xml:space="preserve">Then</w:t>
      </w:r>
      <w:r>
        <w:rPr>
          <w:rFonts w:ascii="Arial" w:cs="Arial" w:eastAsia="Arial" w:hAnsi="Arial"/>
          <w:b w:val="false"/>
          <w:bCs w:val="false"/>
          <w:sz w:val="21"/>
          <w:szCs w:val="21"/>
          <w:rtl/>
        </w:rPr>
        <w:t xml:space="preserve"> العنوان الجديد يظهر حيث تُستعمل الشركة؛ الأرشفة الأولى مرفوضة بذكر السبب؛ الثانية تنجح فتختفي C2 من القوائم المنسدلة وتبقى في السجلات وتُؤرشف مرآتها.</w:t>
      </w:r>
    </w:p>
    <w:p>
      <w:pPr>
        <w:bidi/>
        <w:spacing w:after="110" w:before="0" w:line="312"/>
      </w:pPr>
      <w:r>
        <w:rPr>
          <w:rFonts w:ascii="Arial" w:cs="Arial" w:eastAsia="Arial" w:hAnsi="Arial"/>
          <w:b/>
          <w:bCs/>
          <w:sz w:val="21"/>
          <w:szCs w:val="21"/>
          <w:rtl/>
        </w:rPr>
        <w:t xml:space="preserve">AC-ORG-8 — الإدارات (FR-ORG-014، BR-ORG-016).</w:t>
      </w:r>
      <w:r>
        <w:rPr>
          <w:rFonts w:ascii="Arial" w:cs="Arial" w:eastAsia="Arial" w:hAnsi="Arial"/>
          <w:b w:val="false"/>
          <w:bCs w:val="false"/>
          <w:sz w:val="21"/>
          <w:szCs w:val="21"/>
          <w:rtl/>
        </w:rPr>
        <w:t xml:space="preserve"> </w:t>
      </w:r>
      <w:r>
        <w:rPr>
          <w:rFonts w:ascii="Arial" w:cs="Arial" w:eastAsia="Arial" w:hAnsi="Arial"/>
          <w:b w:val="false"/>
          <w:bCs w:val="false"/>
          <w:i/>
          <w:iCs/>
          <w:sz w:val="21"/>
          <w:szCs w:val="21"/>
          <w:rtl/>
        </w:rPr>
        <w:t xml:space="preserve">Given</w:t>
      </w:r>
      <w:r>
        <w:rPr>
          <w:rFonts w:ascii="Arial" w:cs="Arial" w:eastAsia="Arial" w:hAnsi="Arial"/>
          <w:b w:val="false"/>
          <w:bCs w:val="false"/>
          <w:sz w:val="21"/>
          <w:szCs w:val="21"/>
          <w:rtl/>
        </w:rPr>
        <w:t xml:space="preserve"> إدارة مشتريات فيها مستخدمان، ولا إدارة بعلم «خزينة». </w:t>
      </w:r>
      <w:r>
        <w:rPr>
          <w:rFonts w:ascii="Arial" w:cs="Arial" w:eastAsia="Arial" w:hAnsi="Arial"/>
          <w:b w:val="false"/>
          <w:bCs w:val="false"/>
          <w:i/>
          <w:iCs/>
          <w:sz w:val="21"/>
          <w:szCs w:val="21"/>
          <w:rtl/>
        </w:rPr>
        <w:t xml:space="preserve">When</w:t>
      </w:r>
      <w:r>
        <w:rPr>
          <w:rFonts w:ascii="Arial" w:cs="Arial" w:eastAsia="Arial" w:hAnsi="Arial"/>
          <w:b w:val="false"/>
          <w:bCs w:val="false"/>
          <w:sz w:val="21"/>
          <w:szCs w:val="21"/>
          <w:rtl/>
        </w:rPr>
        <w:t xml:space="preserve"> تُنشأ إدارة برمز مكرر، ثم يحاول المدير تعطيل إدارة المشتريات. </w:t>
      </w:r>
      <w:r>
        <w:rPr>
          <w:rFonts w:ascii="Arial" w:cs="Arial" w:eastAsia="Arial" w:hAnsi="Arial"/>
          <w:b w:val="false"/>
          <w:bCs w:val="false"/>
          <w:i/>
          <w:iCs/>
          <w:sz w:val="21"/>
          <w:szCs w:val="21"/>
          <w:rtl/>
        </w:rPr>
        <w:t xml:space="preserve">Then</w:t>
      </w:r>
      <w:r>
        <w:rPr>
          <w:rFonts w:ascii="Arial" w:cs="Arial" w:eastAsia="Arial" w:hAnsi="Arial"/>
          <w:b w:val="false"/>
          <w:bCs w:val="false"/>
          <w:sz w:val="21"/>
          <w:szCs w:val="21"/>
          <w:rtl/>
        </w:rPr>
        <w:t xml:space="preserve"> الرمز المكرر مرفوض؛ يظهر تحذير غياب إدارة «خزينة»؛ والتعطيل مرفوض لوجود مستخدمين.</w:t>
      </w:r>
    </w:p>
    <w:p>
      <w:pPr>
        <w:pStyle w:val="Heading2"/>
        <w:bidi/>
      </w:pPr>
      <w:bookmarkStart w:name="_sec8" w:id="8"/>
      <w:r>
        <w:rPr>
          <w:rFonts w:ascii="Arial" w:cs="Arial" w:eastAsia="Arial" w:hAnsi="Arial"/>
          <w:b/>
          <w:bCs/>
          <w:color w:val="2B5C8A"/>
          <w:sz w:val="26"/>
          <w:szCs w:val="26"/>
          <w:rtl/>
        </w:rPr>
        <w:t xml:space="preserve">3.3 الأشخاص والجهات (PTY)</w:t>
      </w:r>
      <w:bookmarkEnd w:id="8"/>
    </w:p>
    <w:p>
      <w:pPr>
        <w:bidi/>
        <w:spacing w:after="110" w:before="0" w:line="312"/>
      </w:pPr>
      <w:r>
        <w:rPr>
          <w:rFonts w:ascii="Arial" w:cs="Arial" w:eastAsia="Arial" w:hAnsi="Arial"/>
          <w:b/>
          <w:bCs/>
          <w:sz w:val="21"/>
          <w:szCs w:val="21"/>
          <w:rtl/>
        </w:rPr>
        <w:t xml:space="preserve">AC-PTY-4 — الشخص ووثيقته الأساسية والبحث (FR-PTY-001، FR-PTY-002، FR-PTY-004، FR-PTY-005).</w:t>
      </w:r>
      <w:r>
        <w:rPr>
          <w:rFonts w:ascii="Arial" w:cs="Arial" w:eastAsia="Arial" w:hAnsi="Arial"/>
          <w:b w:val="false"/>
          <w:bCs w:val="false"/>
          <w:sz w:val="21"/>
          <w:szCs w:val="21"/>
          <w:rtl/>
        </w:rPr>
        <w:t xml:space="preserve"> </w:t>
      </w:r>
      <w:r>
        <w:rPr>
          <w:rFonts w:ascii="Arial" w:cs="Arial" w:eastAsia="Arial" w:hAnsi="Arial"/>
          <w:b w:val="false"/>
          <w:bCs w:val="false"/>
          <w:i/>
          <w:iCs/>
          <w:sz w:val="21"/>
          <w:szCs w:val="21"/>
          <w:rtl/>
        </w:rPr>
        <w:t xml:space="preserve">Given</w:t>
      </w:r>
      <w:r>
        <w:rPr>
          <w:rFonts w:ascii="Arial" w:cs="Arial" w:eastAsia="Arial" w:hAnsi="Arial"/>
          <w:b w:val="false"/>
          <w:bCs w:val="false"/>
          <w:sz w:val="21"/>
          <w:szCs w:val="21"/>
          <w:rtl/>
        </w:rPr>
        <w:t xml:space="preserve"> مشتركًا دولته SA. </w:t>
      </w:r>
      <w:r>
        <w:rPr>
          <w:rFonts w:ascii="Arial" w:cs="Arial" w:eastAsia="Arial" w:hAnsi="Arial"/>
          <w:b w:val="false"/>
          <w:bCs w:val="false"/>
          <w:i/>
          <w:iCs/>
          <w:sz w:val="21"/>
          <w:szCs w:val="21"/>
          <w:rtl/>
        </w:rPr>
        <w:t xml:space="preserve">When</w:t>
      </w:r>
      <w:r>
        <w:rPr>
          <w:rFonts w:ascii="Arial" w:cs="Arial" w:eastAsia="Arial" w:hAnsi="Arial"/>
          <w:b w:val="false"/>
          <w:bCs w:val="false"/>
          <w:sz w:val="21"/>
          <w:szCs w:val="21"/>
          <w:rtl/>
        </w:rPr>
        <w:t xml:space="preserve"> يُحفظ شخص بلا اسم، ثم مواطن بهوية وطنية، ومقيم أجنبي بإقامة وجواز، وخليجي بهوية خليجية وجواز، وغير مقيم بجواز، ثم يُبحث برقم الإقامة وبالاسم العربي مكتوبًا بهمزة مختلفة. </w:t>
      </w:r>
      <w:r>
        <w:rPr>
          <w:rFonts w:ascii="Arial" w:cs="Arial" w:eastAsia="Arial" w:hAnsi="Arial"/>
          <w:b w:val="false"/>
          <w:bCs w:val="false"/>
          <w:i/>
          <w:iCs/>
          <w:sz w:val="21"/>
          <w:szCs w:val="21"/>
          <w:rtl/>
        </w:rPr>
        <w:t xml:space="preserve">Then</w:t>
      </w:r>
      <w:r>
        <w:rPr>
          <w:rFonts w:ascii="Arial" w:cs="Arial" w:eastAsia="Arial" w:hAnsi="Arial"/>
          <w:b w:val="false"/>
          <w:bCs w:val="false"/>
          <w:sz w:val="21"/>
          <w:szCs w:val="21"/>
          <w:rtl/>
        </w:rPr>
        <w:t xml:space="preserve"> الحفظ بلا اسم مرفوض؛ الوثيقة الأساسية على الترتيب: الهوية الوطنية، الإقامة، الهوية الخليجية مع جواز مطلوب، الجواز، وتجاوزها يتطلب سببًا؛ البحث بالرقم يعيد الشخص عبر الفهرس الأعمى ولا يسجّل فك تشفير؛ والبحث بالاسم يعيده بعد التطبيع.</w:t>
      </w:r>
    </w:p>
    <w:p>
      <w:pPr>
        <w:bidi/>
        <w:spacing w:after="110" w:before="0" w:line="312"/>
      </w:pPr>
      <w:r>
        <w:rPr>
          <w:rFonts w:ascii="Arial" w:cs="Arial" w:eastAsia="Arial" w:hAnsi="Arial"/>
          <w:b/>
          <w:bCs/>
          <w:sz w:val="21"/>
          <w:szCs w:val="21"/>
          <w:rtl/>
        </w:rPr>
        <w:t xml:space="preserve">AC-PTY-5 — تشفير الأرقام والصور (FR-PTY-006، FR-PTY-009).</w:t>
      </w:r>
      <w:r>
        <w:rPr>
          <w:rFonts w:ascii="Arial" w:cs="Arial" w:eastAsia="Arial" w:hAnsi="Arial"/>
          <w:b w:val="false"/>
          <w:bCs w:val="false"/>
          <w:sz w:val="21"/>
          <w:szCs w:val="21"/>
          <w:rtl/>
        </w:rPr>
        <w:t xml:space="preserve"> </w:t>
      </w:r>
      <w:r>
        <w:rPr>
          <w:rFonts w:ascii="Arial" w:cs="Arial" w:eastAsia="Arial" w:hAnsi="Arial"/>
          <w:b w:val="false"/>
          <w:bCs w:val="false"/>
          <w:i/>
          <w:iCs/>
          <w:sz w:val="21"/>
          <w:szCs w:val="21"/>
          <w:rtl/>
        </w:rPr>
        <w:t xml:space="preserve">Given</w:t>
      </w:r>
      <w:r>
        <w:rPr>
          <w:rFonts w:ascii="Arial" w:cs="Arial" w:eastAsia="Arial" w:hAnsi="Arial"/>
          <w:b w:val="false"/>
          <w:bCs w:val="false"/>
          <w:sz w:val="21"/>
          <w:szCs w:val="21"/>
          <w:rtl/>
        </w:rPr>
        <w:t xml:space="preserve"> وثيقة رقمها ينتهي بـ 7890 وصورتي وجه وظهر. </w:t>
      </w:r>
      <w:r>
        <w:rPr>
          <w:rFonts w:ascii="Arial" w:cs="Arial" w:eastAsia="Arial" w:hAnsi="Arial"/>
          <w:b w:val="false"/>
          <w:bCs w:val="false"/>
          <w:i/>
          <w:iCs/>
          <w:sz w:val="21"/>
          <w:szCs w:val="21"/>
          <w:rtl/>
        </w:rPr>
        <w:t xml:space="preserve">When</w:t>
      </w:r>
      <w:r>
        <w:rPr>
          <w:rFonts w:ascii="Arial" w:cs="Arial" w:eastAsia="Arial" w:hAnsi="Arial"/>
          <w:b w:val="false"/>
          <w:bCs w:val="false"/>
          <w:sz w:val="21"/>
          <w:szCs w:val="21"/>
          <w:rtl/>
        </w:rPr>
        <w:t xml:space="preserve"> يُفحص الجدول مباشرة في بيئة الاختبار، ويقرأ دور التقارير عمود الرقم، ويُعرض القناع، ثم تُستبدل صورة الوجه، ثم يطلب موظف خزينة المصغّرة. </w:t>
      </w:r>
      <w:r>
        <w:rPr>
          <w:rFonts w:ascii="Arial" w:cs="Arial" w:eastAsia="Arial" w:hAnsi="Arial"/>
          <w:b w:val="false"/>
          <w:bCs w:val="false"/>
          <w:i/>
          <w:iCs/>
          <w:sz w:val="21"/>
          <w:szCs w:val="21"/>
          <w:rtl/>
        </w:rPr>
        <w:t xml:space="preserve">Then</w:t>
      </w:r>
      <w:r>
        <w:rPr>
          <w:rFonts w:ascii="Arial" w:cs="Arial" w:eastAsia="Arial" w:hAnsi="Arial"/>
          <w:b w:val="false"/>
          <w:bCs w:val="false"/>
          <w:sz w:val="21"/>
          <w:szCs w:val="21"/>
          <w:rtl/>
        </w:rPr>
        <w:t xml:space="preserve"> لا يظهر الرقم نصًّا؛ دور التقارير يتلقى 230 (T21)؛ القناع </w:t>
      </w:r>
      <w:r>
        <w:rPr>
          <w:rFonts w:ascii="Courier New" w:cs="Courier New" w:eastAsia="Courier New" w:hAnsi="Courier New"/>
          <w:b w:val="false"/>
          <w:bCs w:val="false"/>
          <w:color w:val="1F2937"/>
          <w:sz w:val="18"/>
          <w:szCs w:val="18"/>
          <w:shd w:fill="F1F3F5" w:color="auto" w:val="clear"/>
          <w:rtl/>
        </w:rPr>
        <w:t xml:space="preserve">‎******7890‎</w:t>
      </w:r>
      <w:r>
        <w:rPr>
          <w:rFonts w:ascii="Arial" w:cs="Arial" w:eastAsia="Arial" w:hAnsi="Arial"/>
          <w:b w:val="false"/>
          <w:bCs w:val="false"/>
          <w:sz w:val="21"/>
          <w:szCs w:val="21"/>
          <w:rtl/>
        </w:rPr>
        <w:t xml:space="preserve"> يُعرض بلا فك تشفير؛ الصورة السابقة تبقى إصدارًا؛ والمصغّرة ترجع 403.</w:t>
      </w:r>
    </w:p>
    <w:p>
      <w:pPr>
        <w:bidi/>
        <w:spacing w:after="110" w:before="0" w:line="312"/>
      </w:pPr>
      <w:r>
        <w:rPr>
          <w:rFonts w:ascii="Arial" w:cs="Arial" w:eastAsia="Arial" w:hAnsi="Arial"/>
          <w:b/>
          <w:bCs/>
          <w:sz w:val="21"/>
          <w:szCs w:val="21"/>
          <w:rtl/>
        </w:rPr>
        <w:t xml:space="preserve">AC-PTY-6 — تحقق الشكل والعناوين والاتصال (FR-PTY-010، FR-PTY-011، FR-PTY-012).</w:t>
      </w:r>
      <w:r>
        <w:rPr>
          <w:rFonts w:ascii="Arial" w:cs="Arial" w:eastAsia="Arial" w:hAnsi="Arial"/>
          <w:b w:val="false"/>
          <w:bCs w:val="false"/>
          <w:sz w:val="21"/>
          <w:szCs w:val="21"/>
          <w:rtl/>
        </w:rPr>
        <w:t xml:space="preserve"> </w:t>
      </w:r>
      <w:r>
        <w:rPr>
          <w:rFonts w:ascii="Arial" w:cs="Arial" w:eastAsia="Arial" w:hAnsi="Arial"/>
          <w:b w:val="false"/>
          <w:bCs w:val="false"/>
          <w:i/>
          <w:iCs/>
          <w:sz w:val="21"/>
          <w:szCs w:val="21"/>
          <w:rtl/>
        </w:rPr>
        <w:t xml:space="preserve">Given</w:t>
      </w:r>
      <w:r>
        <w:rPr>
          <w:rFonts w:ascii="Arial" w:cs="Arial" w:eastAsia="Arial" w:hAnsi="Arial"/>
          <w:b w:val="false"/>
          <w:bCs w:val="false"/>
          <w:sz w:val="21"/>
          <w:szCs w:val="21"/>
          <w:rtl/>
        </w:rPr>
        <w:t xml:space="preserve"> نمط هوية وطنية بعشر خانات بوضع «تحذير»، ونمط العنوان الوطني مفعّلًا. </w:t>
      </w:r>
      <w:r>
        <w:rPr>
          <w:rFonts w:ascii="Arial" w:cs="Arial" w:eastAsia="Arial" w:hAnsi="Arial"/>
          <w:b w:val="false"/>
          <w:bCs w:val="false"/>
          <w:i/>
          <w:iCs/>
          <w:sz w:val="21"/>
          <w:szCs w:val="21"/>
          <w:rtl/>
        </w:rPr>
        <w:t xml:space="preserve">When</w:t>
      </w:r>
      <w:r>
        <w:rPr>
          <w:rFonts w:ascii="Arial" w:cs="Arial" w:eastAsia="Arial" w:hAnsi="Arial"/>
          <w:b w:val="false"/>
          <w:bCs w:val="false"/>
          <w:sz w:val="21"/>
          <w:szCs w:val="21"/>
          <w:rtl/>
        </w:rPr>
        <w:t xml:space="preserve"> يُدخل رقم بتسع خانات، ثم عنوان وطني بلا رمز بريدي، ثم بريد ثانٍ يُعيَّن أساسيًا. </w:t>
      </w:r>
      <w:r>
        <w:rPr>
          <w:rFonts w:ascii="Arial" w:cs="Arial" w:eastAsia="Arial" w:hAnsi="Arial"/>
          <w:b w:val="false"/>
          <w:bCs w:val="false"/>
          <w:i/>
          <w:iCs/>
          <w:sz w:val="21"/>
          <w:szCs w:val="21"/>
          <w:rtl/>
        </w:rPr>
        <w:t xml:space="preserve">Then</w:t>
      </w:r>
      <w:r>
        <w:rPr>
          <w:rFonts w:ascii="Arial" w:cs="Arial" w:eastAsia="Arial" w:hAnsi="Arial"/>
          <w:b w:val="false"/>
          <w:bCs w:val="false"/>
          <w:sz w:val="21"/>
          <w:szCs w:val="21"/>
          <w:rtl/>
        </w:rPr>
        <w:t xml:space="preserve"> الرقم يُحفظ بتحذير؛ العنوان مرفوض؛ والبريد الأول يفقد علم «أساسي» آليًا.</w:t>
      </w:r>
    </w:p>
    <w:p>
      <w:pPr>
        <w:bidi/>
        <w:spacing w:after="110" w:before="0" w:line="312"/>
      </w:pPr>
      <w:r>
        <w:rPr>
          <w:rFonts w:ascii="Arial" w:cs="Arial" w:eastAsia="Arial" w:hAnsi="Arial"/>
          <w:b/>
          <w:bCs/>
          <w:sz w:val="21"/>
          <w:szCs w:val="21"/>
          <w:rtl/>
        </w:rPr>
        <w:t xml:space="preserve">AC-PTY-7 — الحقول المخصصة (FR-PTY-013، FR-PTY-014).</w:t>
      </w:r>
      <w:r>
        <w:rPr>
          <w:rFonts w:ascii="Arial" w:cs="Arial" w:eastAsia="Arial" w:hAnsi="Arial"/>
          <w:b w:val="false"/>
          <w:bCs w:val="false"/>
          <w:sz w:val="21"/>
          <w:szCs w:val="21"/>
          <w:rtl/>
        </w:rPr>
        <w:t xml:space="preserve"> </w:t>
      </w:r>
      <w:r>
        <w:rPr>
          <w:rFonts w:ascii="Arial" w:cs="Arial" w:eastAsia="Arial" w:hAnsi="Arial"/>
          <w:b w:val="false"/>
          <w:bCs w:val="false"/>
          <w:i/>
          <w:iCs/>
          <w:sz w:val="21"/>
          <w:szCs w:val="21"/>
          <w:rtl/>
        </w:rPr>
        <w:t xml:space="preserve">Given</w:t>
      </w:r>
      <w:r>
        <w:rPr>
          <w:rFonts w:ascii="Arial" w:cs="Arial" w:eastAsia="Arial" w:hAnsi="Arial"/>
          <w:b w:val="false"/>
          <w:bCs w:val="false"/>
          <w:sz w:val="21"/>
          <w:szCs w:val="21"/>
          <w:rtl/>
        </w:rPr>
        <w:t xml:space="preserve"> حقلين مخصصين: «جهة العمل» داخلي، و«مصدر الأموال» مقيَّد. </w:t>
      </w:r>
      <w:r>
        <w:rPr>
          <w:rFonts w:ascii="Arial" w:cs="Arial" w:eastAsia="Arial" w:hAnsi="Arial"/>
          <w:b w:val="false"/>
          <w:bCs w:val="false"/>
          <w:i/>
          <w:iCs/>
          <w:sz w:val="21"/>
          <w:szCs w:val="21"/>
          <w:rtl/>
        </w:rPr>
        <w:t xml:space="preserve">When</w:t>
      </w:r>
      <w:r>
        <w:rPr>
          <w:rFonts w:ascii="Arial" w:cs="Arial" w:eastAsia="Arial" w:hAnsi="Arial"/>
          <w:b w:val="false"/>
          <w:bCs w:val="false"/>
          <w:sz w:val="21"/>
          <w:szCs w:val="21"/>
          <w:rtl/>
        </w:rPr>
        <w:t xml:space="preserve"> يُعرَّفان، ثم يفتح موظف خزينة ومدير خزينة ملف شخص. </w:t>
      </w:r>
      <w:r>
        <w:rPr>
          <w:rFonts w:ascii="Arial" w:cs="Arial" w:eastAsia="Arial" w:hAnsi="Arial"/>
          <w:b w:val="false"/>
          <w:bCs w:val="false"/>
          <w:i/>
          <w:iCs/>
          <w:sz w:val="21"/>
          <w:szCs w:val="21"/>
          <w:rtl/>
        </w:rPr>
        <w:t xml:space="preserve">Then</w:t>
      </w:r>
      <w:r>
        <w:rPr>
          <w:rFonts w:ascii="Arial" w:cs="Arial" w:eastAsia="Arial" w:hAnsi="Arial"/>
          <w:b w:val="false"/>
          <w:bCs w:val="false"/>
          <w:sz w:val="21"/>
          <w:szCs w:val="21"/>
          <w:rtl/>
        </w:rPr>
        <w:t xml:space="preserve"> «جهة العمل» يظهر في كل ملف دون تعديل الهيكل؛ «مصدر الأموال» مشفّر ومقنَّع، لا يراه الموظف، ويراه المدير بكشف مدقَّق.</w:t>
      </w:r>
    </w:p>
    <w:p>
      <w:pPr>
        <w:bidi/>
        <w:spacing w:after="110" w:before="0" w:line="312"/>
      </w:pPr>
      <w:r>
        <w:rPr>
          <w:rFonts w:ascii="Arial" w:cs="Arial" w:eastAsia="Arial" w:hAnsi="Arial"/>
          <w:b/>
          <w:bCs/>
          <w:sz w:val="21"/>
          <w:szCs w:val="21"/>
          <w:rtl/>
        </w:rPr>
        <w:t xml:space="preserve">AC-PTY-8 — الأدوار المشتقة والرؤية والتعطيل (FR-PTY-017، FR-PTY-018، FR-PTY-019، FR-PTY-028).</w:t>
      </w:r>
      <w:r>
        <w:rPr>
          <w:rFonts w:ascii="Arial" w:cs="Arial" w:eastAsia="Arial" w:hAnsi="Arial"/>
          <w:b w:val="false"/>
          <w:bCs w:val="false"/>
          <w:sz w:val="21"/>
          <w:szCs w:val="21"/>
          <w:rtl/>
        </w:rPr>
        <w:t xml:space="preserve"> </w:t>
      </w:r>
      <w:r>
        <w:rPr>
          <w:rFonts w:ascii="Arial" w:cs="Arial" w:eastAsia="Arial" w:hAnsi="Arial"/>
          <w:b w:val="false"/>
          <w:bCs w:val="false"/>
          <w:i/>
          <w:iCs/>
          <w:sz w:val="21"/>
          <w:szCs w:val="21"/>
          <w:rtl/>
        </w:rPr>
        <w:t xml:space="preserve">Given</w:t>
      </w:r>
      <w:r>
        <w:rPr>
          <w:rFonts w:ascii="Arial" w:cs="Arial" w:eastAsia="Arial" w:hAnsi="Arial"/>
          <w:b w:val="false"/>
          <w:bCs w:val="false"/>
          <w:sz w:val="21"/>
          <w:szCs w:val="21"/>
          <w:rtl/>
        </w:rPr>
        <w:t xml:space="preserve"> شخصًا P1 ممولًا فردًا عبر منشأة من نوع «فرد» لها علاقة بالشركة C1، ومربوطًا بجهة اتصال لدى بنك، ومستخدمَين نطاق الأول C1 ونطاق الثاني C2. </w:t>
      </w:r>
      <w:r>
        <w:rPr>
          <w:rFonts w:ascii="Arial" w:cs="Arial" w:eastAsia="Arial" w:hAnsi="Arial"/>
          <w:b w:val="false"/>
          <w:bCs w:val="false"/>
          <w:i/>
          <w:iCs/>
          <w:sz w:val="21"/>
          <w:szCs w:val="21"/>
          <w:rtl/>
        </w:rPr>
        <w:t xml:space="preserve">When</w:t>
      </w:r>
      <w:r>
        <w:rPr>
          <w:rFonts w:ascii="Arial" w:cs="Arial" w:eastAsia="Arial" w:hAnsi="Arial"/>
          <w:b w:val="false"/>
          <w:bCs w:val="false"/>
          <w:sz w:val="21"/>
          <w:szCs w:val="21"/>
          <w:rtl/>
        </w:rPr>
        <w:t xml:space="preserve"> تُفتح بطاقة P1 ونظرته الشاملة بكل مستخدم، ثم يُحاول تعطيل P1. </w:t>
      </w:r>
      <w:r>
        <w:rPr>
          <w:rFonts w:ascii="Arial" w:cs="Arial" w:eastAsia="Arial" w:hAnsi="Arial"/>
          <w:b w:val="false"/>
          <w:bCs w:val="false"/>
          <w:i/>
          <w:iCs/>
          <w:sz w:val="21"/>
          <w:szCs w:val="21"/>
          <w:rtl/>
        </w:rPr>
        <w:t xml:space="preserve">Then</w:t>
      </w:r>
      <w:r>
        <w:rPr>
          <w:rFonts w:ascii="Arial" w:cs="Arial" w:eastAsia="Arial" w:hAnsi="Arial"/>
          <w:b w:val="false"/>
          <w:bCs w:val="false"/>
          <w:sz w:val="21"/>
          <w:szCs w:val="21"/>
          <w:rtl/>
        </w:rPr>
        <w:t xml:space="preserve"> البطاقة تعرض شارتي الاستخدام بأعدادهما وروابطهما دون دور مخزَّن؛ مستخدم C2 لا يجد P1؛ النظرة الشاملة تعرض لمستخدم C1 الاستخدامات المسموحة فقط؛ والتعطيل مرفوض لوجود استخدام نشط. شارات المالك والكفيل تُختبر في S1-ب وS2.</w:t>
      </w:r>
    </w:p>
    <w:p>
      <w:pPr>
        <w:bidi/>
        <w:spacing w:after="110" w:before="0" w:line="312"/>
      </w:pPr>
      <w:r>
        <w:rPr>
          <w:rFonts w:ascii="Arial" w:cs="Arial" w:eastAsia="Arial" w:hAnsi="Arial"/>
          <w:b/>
          <w:bCs/>
          <w:sz w:val="21"/>
          <w:szCs w:val="21"/>
          <w:rtl/>
        </w:rPr>
        <w:t xml:space="preserve">AC-PTY-9 — تحقق الأصل وتجديد الوثيقة (FR-PTY-020، FR-PTY-022).</w:t>
      </w:r>
      <w:r>
        <w:rPr>
          <w:rFonts w:ascii="Arial" w:cs="Arial" w:eastAsia="Arial" w:hAnsi="Arial"/>
          <w:b w:val="false"/>
          <w:bCs w:val="false"/>
          <w:sz w:val="21"/>
          <w:szCs w:val="21"/>
          <w:rtl/>
        </w:rPr>
        <w:t xml:space="preserve"> </w:t>
      </w:r>
      <w:r>
        <w:rPr>
          <w:rFonts w:ascii="Arial" w:cs="Arial" w:eastAsia="Arial" w:hAnsi="Arial"/>
          <w:b w:val="false"/>
          <w:bCs w:val="false"/>
          <w:i/>
          <w:iCs/>
          <w:sz w:val="21"/>
          <w:szCs w:val="21"/>
          <w:rtl/>
        </w:rPr>
        <w:t xml:space="preserve">Given</w:t>
      </w:r>
      <w:r>
        <w:rPr>
          <w:rFonts w:ascii="Arial" w:cs="Arial" w:eastAsia="Arial" w:hAnsi="Arial"/>
          <w:b w:val="false"/>
          <w:bCs w:val="false"/>
          <w:sz w:val="21"/>
          <w:szCs w:val="21"/>
          <w:rtl/>
        </w:rPr>
        <w:t xml:space="preserve"> جوازًا عليه علامة «تم التحقق من الأصل». </w:t>
      </w:r>
      <w:r>
        <w:rPr>
          <w:rFonts w:ascii="Arial" w:cs="Arial" w:eastAsia="Arial" w:hAnsi="Arial"/>
          <w:b w:val="false"/>
          <w:bCs w:val="false"/>
          <w:i/>
          <w:iCs/>
          <w:sz w:val="21"/>
          <w:szCs w:val="21"/>
          <w:rtl/>
        </w:rPr>
        <w:t xml:space="preserve">When</w:t>
      </w:r>
      <w:r>
        <w:rPr>
          <w:rFonts w:ascii="Arial" w:cs="Arial" w:eastAsia="Arial" w:hAnsi="Arial"/>
          <w:b w:val="false"/>
          <w:bCs w:val="false"/>
          <w:sz w:val="21"/>
          <w:szCs w:val="21"/>
          <w:rtl/>
        </w:rPr>
        <w:t xml:space="preserve"> يُصحَّح تاريخ انتهائه، ثم يُجدَّد بجواز جديد. </w:t>
      </w:r>
      <w:r>
        <w:rPr>
          <w:rFonts w:ascii="Arial" w:cs="Arial" w:eastAsia="Arial" w:hAnsi="Arial"/>
          <w:b w:val="false"/>
          <w:bCs w:val="false"/>
          <w:i/>
          <w:iCs/>
          <w:sz w:val="21"/>
          <w:szCs w:val="21"/>
          <w:rtl/>
        </w:rPr>
        <w:t xml:space="preserve">Then</w:t>
      </w:r>
      <w:r>
        <w:rPr>
          <w:rFonts w:ascii="Arial" w:cs="Arial" w:eastAsia="Arial" w:hAnsi="Arial"/>
          <w:b w:val="false"/>
          <w:bCs w:val="false"/>
          <w:sz w:val="21"/>
          <w:szCs w:val="21"/>
          <w:rtl/>
        </w:rPr>
        <w:t xml:space="preserve"> التصحيح يمسح العلامة؛ التجديد ينشئ وثيقة جديدة ويجعل القديمة «مستبدلة» بصورها؛ وبقاء مرجع الكفالة على الوثيقة القديمة يُختبر في S2.</w:t>
      </w:r>
    </w:p>
    <w:p>
      <w:pPr>
        <w:pStyle w:val="Heading2"/>
        <w:bidi/>
      </w:pPr>
      <w:bookmarkStart w:name="_sec9" w:id="9"/>
      <w:r>
        <w:rPr>
          <w:rFonts w:ascii="Arial" w:cs="Arial" w:eastAsia="Arial" w:hAnsi="Arial"/>
          <w:b/>
          <w:bCs/>
          <w:color w:val="2B5C8A"/>
          <w:sz w:val="26"/>
          <w:szCs w:val="26"/>
          <w:rtl/>
        </w:rPr>
        <w:t xml:space="preserve">3.4 المنشآت المالية (INS)</w:t>
      </w:r>
      <w:bookmarkEnd w:id="9"/>
    </w:p>
    <w:p>
      <w:pPr>
        <w:bidi/>
        <w:spacing w:after="110" w:before="0" w:line="312"/>
      </w:pPr>
      <w:r>
        <w:rPr>
          <w:rFonts w:ascii="Arial" w:cs="Arial" w:eastAsia="Arial" w:hAnsi="Arial"/>
          <w:b/>
          <w:bCs/>
          <w:sz w:val="21"/>
          <w:szCs w:val="21"/>
          <w:rtl/>
        </w:rPr>
        <w:t xml:space="preserve">AC-INS-4 — أنواع المنشآت وتعريفها (FR-INS-001 إلى FR-INS-004).</w:t>
      </w:r>
      <w:r>
        <w:rPr>
          <w:rFonts w:ascii="Arial" w:cs="Arial" w:eastAsia="Arial" w:hAnsi="Arial"/>
          <w:b w:val="false"/>
          <w:bCs w:val="false"/>
          <w:sz w:val="21"/>
          <w:szCs w:val="21"/>
          <w:rtl/>
        </w:rPr>
        <w:t xml:space="preserve"> </w:t>
      </w:r>
      <w:r>
        <w:rPr>
          <w:rFonts w:ascii="Arial" w:cs="Arial" w:eastAsia="Arial" w:hAnsi="Arial"/>
          <w:b w:val="false"/>
          <w:bCs w:val="false"/>
          <w:i/>
          <w:iCs/>
          <w:sz w:val="21"/>
          <w:szCs w:val="21"/>
          <w:rtl/>
        </w:rPr>
        <w:t xml:space="preserve">Given</w:t>
      </w:r>
      <w:r>
        <w:rPr>
          <w:rFonts w:ascii="Arial" w:cs="Arial" w:eastAsia="Arial" w:hAnsi="Arial"/>
          <w:b w:val="false"/>
          <w:bCs w:val="false"/>
          <w:sz w:val="21"/>
          <w:szCs w:val="21"/>
          <w:rtl/>
        </w:rPr>
        <w:t xml:space="preserve"> مشتركًا دولته SA بعد التهيئة. </w:t>
      </w:r>
      <w:r>
        <w:rPr>
          <w:rFonts w:ascii="Arial" w:cs="Arial" w:eastAsia="Arial" w:hAnsi="Arial"/>
          <w:b w:val="false"/>
          <w:bCs w:val="false"/>
          <w:i/>
          <w:iCs/>
          <w:sz w:val="21"/>
          <w:szCs w:val="21"/>
          <w:rtl/>
        </w:rPr>
        <w:t xml:space="preserve">When</w:t>
      </w:r>
      <w:r>
        <w:rPr>
          <w:rFonts w:ascii="Arial" w:cs="Arial" w:eastAsia="Arial" w:hAnsi="Arial"/>
          <w:b w:val="false"/>
          <w:bCs w:val="false"/>
          <w:sz w:val="21"/>
          <w:szCs w:val="21"/>
          <w:rtl/>
        </w:rPr>
        <w:t xml:space="preserve"> تُعرض الأنواع، ثم تُنشأ منشأة بـ BIC من 9 خانات، ثم بـ BIC من 8 خانات ودولة AE، ثم منشأة من نوع «فرد» بلا Party ثم بـ Party موجود، ثم منشأة بدولة غير مفعّلة. </w:t>
      </w:r>
      <w:r>
        <w:rPr>
          <w:rFonts w:ascii="Arial" w:cs="Arial" w:eastAsia="Arial" w:hAnsi="Arial"/>
          <w:b w:val="false"/>
          <w:bCs w:val="false"/>
          <w:i/>
          <w:iCs/>
          <w:sz w:val="21"/>
          <w:szCs w:val="21"/>
          <w:rtl/>
        </w:rPr>
        <w:t xml:space="preserve">Then</w:t>
      </w:r>
      <w:r>
        <w:rPr>
          <w:rFonts w:ascii="Arial" w:cs="Arial" w:eastAsia="Arial" w:hAnsi="Arial"/>
          <w:b w:val="false"/>
          <w:bCs w:val="false"/>
          <w:sz w:val="21"/>
          <w:szCs w:val="21"/>
          <w:rtl/>
        </w:rPr>
        <w:t xml:space="preserve"> تظهر 5 أنواع؛ BIC من 9 خانات مرفوض؛ المنشأة الإماراتية «أجنبي» والتصفية تعيدها؛ «فرد» بلا Party مرفوض وبه مقبول بلا حقول هوية في بطاقة المنشأة؛ والدولة غير المفعّلة مرفوضة.</w:t>
      </w:r>
    </w:p>
    <w:p>
      <w:pPr>
        <w:bidi/>
        <w:spacing w:after="110" w:before="0" w:line="312"/>
      </w:pPr>
      <w:r>
        <w:rPr>
          <w:rFonts w:ascii="Arial" w:cs="Arial" w:eastAsia="Arial" w:hAnsi="Arial"/>
          <w:b/>
          <w:bCs/>
          <w:sz w:val="21"/>
          <w:szCs w:val="21"/>
          <w:rtl/>
        </w:rPr>
        <w:t xml:space="preserve">AC-INS-5 — هيكل المنشأة وبيانات الوحدة (FR-INS-005، FR-INS-006).</w:t>
      </w:r>
      <w:r>
        <w:rPr>
          <w:rFonts w:ascii="Arial" w:cs="Arial" w:eastAsia="Arial" w:hAnsi="Arial"/>
          <w:b w:val="false"/>
          <w:bCs w:val="false"/>
          <w:sz w:val="21"/>
          <w:szCs w:val="21"/>
          <w:rtl/>
        </w:rPr>
        <w:t xml:space="preserve"> </w:t>
      </w:r>
      <w:r>
        <w:rPr>
          <w:rFonts w:ascii="Arial" w:cs="Arial" w:eastAsia="Arial" w:hAnsi="Arial"/>
          <w:b w:val="false"/>
          <w:bCs w:val="false"/>
          <w:i/>
          <w:iCs/>
          <w:sz w:val="21"/>
          <w:szCs w:val="21"/>
          <w:rtl/>
        </w:rPr>
        <w:t xml:space="preserve">Given</w:t>
      </w:r>
      <w:r>
        <w:rPr>
          <w:rFonts w:ascii="Arial" w:cs="Arial" w:eastAsia="Arial" w:hAnsi="Arial"/>
          <w:b w:val="false"/>
          <w:bCs w:val="false"/>
          <w:sz w:val="21"/>
          <w:szCs w:val="21"/>
          <w:rtl/>
        </w:rPr>
        <w:t xml:space="preserve"> منشأة </w:t>
      </w:r>
      <w:r>
        <w:rPr>
          <w:rFonts w:ascii="Courier New" w:cs="Courier New" w:eastAsia="Courier New" w:hAnsi="Courier New"/>
          <w:b w:val="false"/>
          <w:bCs w:val="false"/>
          <w:color w:val="1F2937"/>
          <w:sz w:val="18"/>
          <w:szCs w:val="18"/>
          <w:shd w:fill="F1F3F5" w:color="auto" w:val="clear"/>
          <w:rtl/>
        </w:rPr>
        <w:t xml:space="preserve">‎BNK1‎</w:t>
      </w:r>
      <w:r>
        <w:rPr>
          <w:rFonts w:ascii="Arial" w:cs="Arial" w:eastAsia="Arial" w:hAnsi="Arial"/>
          <w:b w:val="false"/>
          <w:bCs w:val="false"/>
          <w:sz w:val="21"/>
          <w:szCs w:val="21"/>
          <w:rtl/>
        </w:rPr>
        <w:t xml:space="preserve">. </w:t>
      </w:r>
      <w:r>
        <w:rPr>
          <w:rFonts w:ascii="Arial" w:cs="Arial" w:eastAsia="Arial" w:hAnsi="Arial"/>
          <w:b w:val="false"/>
          <w:bCs w:val="false"/>
          <w:i/>
          <w:iCs/>
          <w:sz w:val="21"/>
          <w:szCs w:val="21"/>
          <w:rtl/>
        </w:rPr>
        <w:t xml:space="preserve">When</w:t>
      </w:r>
      <w:r>
        <w:rPr>
          <w:rFonts w:ascii="Arial" w:cs="Arial" w:eastAsia="Arial" w:hAnsi="Arial"/>
          <w:b w:val="false"/>
          <w:bCs w:val="false"/>
          <w:sz w:val="21"/>
          <w:szCs w:val="21"/>
          <w:rtl/>
        </w:rPr>
        <w:t xml:space="preserve"> تُنشأ أربع وحدات متداخلة، ثم خامسة تحتها، ثم تُجعل الأولى تابعة للرابعة، ثم يُدخل بريد بصيغة خاطئة. </w:t>
      </w:r>
      <w:r>
        <w:rPr>
          <w:rFonts w:ascii="Arial" w:cs="Arial" w:eastAsia="Arial" w:hAnsi="Arial"/>
          <w:b w:val="false"/>
          <w:bCs w:val="false"/>
          <w:i/>
          <w:iCs/>
          <w:sz w:val="21"/>
          <w:szCs w:val="21"/>
          <w:rtl/>
        </w:rPr>
        <w:t xml:space="preserve">Then</w:t>
      </w:r>
      <w:r>
        <w:rPr>
          <w:rFonts w:ascii="Arial" w:cs="Arial" w:eastAsia="Arial" w:hAnsi="Arial"/>
          <w:b w:val="false"/>
          <w:bCs w:val="false"/>
          <w:sz w:val="21"/>
          <w:szCs w:val="21"/>
          <w:rtl/>
        </w:rPr>
        <w:t xml:space="preserve"> المستويات الأربعة مقبولة؛ الخامس والحلقة مرفوضان؛ والبريد الخاطئ مرفوض.</w:t>
      </w:r>
    </w:p>
    <w:p>
      <w:pPr>
        <w:bidi/>
        <w:spacing w:after="110" w:before="0" w:line="312"/>
      </w:pPr>
      <w:r>
        <w:rPr>
          <w:rFonts w:ascii="Arial" w:cs="Arial" w:eastAsia="Arial" w:hAnsi="Arial"/>
          <w:b/>
          <w:bCs/>
          <w:sz w:val="21"/>
          <w:szCs w:val="21"/>
          <w:rtl/>
        </w:rPr>
        <w:t xml:space="preserve">AC-INS-6 — العلاقة والتغطية والمنتجات والقناة (FR-INS-009 إلى FR-INS-013).</w:t>
      </w:r>
      <w:r>
        <w:rPr>
          <w:rFonts w:ascii="Arial" w:cs="Arial" w:eastAsia="Arial" w:hAnsi="Arial"/>
          <w:b w:val="false"/>
          <w:bCs w:val="false"/>
          <w:sz w:val="21"/>
          <w:szCs w:val="21"/>
          <w:rtl/>
        </w:rPr>
        <w:t xml:space="preserve"> </w:t>
      </w:r>
      <w:r>
        <w:rPr>
          <w:rFonts w:ascii="Arial" w:cs="Arial" w:eastAsia="Arial" w:hAnsi="Arial"/>
          <w:b w:val="false"/>
          <w:bCs w:val="false"/>
          <w:i/>
          <w:iCs/>
          <w:sz w:val="21"/>
          <w:szCs w:val="21"/>
          <w:rtl/>
        </w:rPr>
        <w:t xml:space="preserve">Given</w:t>
      </w:r>
      <w:r>
        <w:rPr>
          <w:rFonts w:ascii="Arial" w:cs="Arial" w:eastAsia="Arial" w:hAnsi="Arial"/>
          <w:b w:val="false"/>
          <w:bCs w:val="false"/>
          <w:sz w:val="21"/>
          <w:szCs w:val="21"/>
          <w:rtl/>
        </w:rPr>
        <w:t xml:space="preserve"> شركة C1 ومنشأتين </w:t>
      </w:r>
      <w:r>
        <w:rPr>
          <w:rFonts w:ascii="Courier New" w:cs="Courier New" w:eastAsia="Courier New" w:hAnsi="Courier New"/>
          <w:b w:val="false"/>
          <w:bCs w:val="false"/>
          <w:color w:val="1F2937"/>
          <w:sz w:val="18"/>
          <w:szCs w:val="18"/>
          <w:shd w:fill="F1F3F5" w:color="auto" w:val="clear"/>
          <w:rtl/>
        </w:rPr>
        <w:t xml:space="preserve">‎BNK1‎</w:t>
      </w:r>
      <w:r>
        <w:rPr>
          <w:rFonts w:ascii="Arial" w:cs="Arial" w:eastAsia="Arial" w:hAnsi="Arial"/>
          <w:b w:val="false"/>
          <w:bCs w:val="false"/>
          <w:sz w:val="21"/>
          <w:szCs w:val="21"/>
          <w:rtl/>
        </w:rPr>
        <w:t xml:space="preserve"> و</w:t>
      </w:r>
      <w:r>
        <w:rPr>
          <w:rFonts w:ascii="Courier New" w:cs="Courier New" w:eastAsia="Courier New" w:hAnsi="Courier New"/>
          <w:b w:val="false"/>
          <w:bCs w:val="false"/>
          <w:color w:val="1F2937"/>
          <w:sz w:val="18"/>
          <w:szCs w:val="18"/>
          <w:shd w:fill="F1F3F5" w:color="auto" w:val="clear"/>
          <w:rtl/>
        </w:rPr>
        <w:t xml:space="preserve">‎BNK2‎</w:t>
      </w:r>
      <w:r>
        <w:rPr>
          <w:rFonts w:ascii="Arial" w:cs="Arial" w:eastAsia="Arial" w:hAnsi="Arial"/>
          <w:b w:val="false"/>
          <w:bCs w:val="false"/>
          <w:sz w:val="21"/>
          <w:szCs w:val="21"/>
          <w:rtl/>
        </w:rPr>
        <w:t xml:space="preserve"> ومنتجًا غير نشط. </w:t>
      </w:r>
      <w:r>
        <w:rPr>
          <w:rFonts w:ascii="Arial" w:cs="Arial" w:eastAsia="Arial" w:hAnsi="Arial"/>
          <w:b w:val="false"/>
          <w:bCs w:val="false"/>
          <w:i/>
          <w:iCs/>
          <w:sz w:val="21"/>
          <w:szCs w:val="21"/>
          <w:rtl/>
        </w:rPr>
        <w:t xml:space="preserve">When</w:t>
      </w:r>
      <w:r>
        <w:rPr>
          <w:rFonts w:ascii="Arial" w:cs="Arial" w:eastAsia="Arial" w:hAnsi="Arial"/>
          <w:b w:val="false"/>
          <w:bCs w:val="false"/>
          <w:sz w:val="21"/>
          <w:szCs w:val="21"/>
          <w:rtl/>
        </w:rPr>
        <w:t xml:space="preserve"> تُنشأ علاقة C1 مع </w:t>
      </w:r>
      <w:r>
        <w:rPr>
          <w:rFonts w:ascii="Courier New" w:cs="Courier New" w:eastAsia="Courier New" w:hAnsi="Courier New"/>
          <w:b w:val="false"/>
          <w:bCs w:val="false"/>
          <w:color w:val="1F2937"/>
          <w:sz w:val="18"/>
          <w:szCs w:val="18"/>
          <w:shd w:fill="F1F3F5" w:color="auto" w:val="clear"/>
          <w:rtl/>
        </w:rPr>
        <w:t xml:space="preserve">‎BNK1‎</w:t>
      </w:r>
      <w:r>
        <w:rPr>
          <w:rFonts w:ascii="Arial" w:cs="Arial" w:eastAsia="Arial" w:hAnsi="Arial"/>
          <w:b w:val="false"/>
          <w:bCs w:val="false"/>
          <w:sz w:val="21"/>
          <w:szCs w:val="21"/>
          <w:rtl/>
        </w:rPr>
        <w:t xml:space="preserve"> برقم عميل 20001، ثم علاقة ثانية للزوج نفسه، ثم مدير علاقة برتبة 1 وآخر بالرتبة نفسها، ثم يُستبدل الأول بتاريخ، ويُضاف المنتج غير النشط، وتُختار جهة من </w:t>
      </w:r>
      <w:r>
        <w:rPr>
          <w:rFonts w:ascii="Courier New" w:cs="Courier New" w:eastAsia="Courier New" w:hAnsi="Courier New"/>
          <w:b w:val="false"/>
          <w:bCs w:val="false"/>
          <w:color w:val="1F2937"/>
          <w:sz w:val="18"/>
          <w:szCs w:val="18"/>
          <w:shd w:fill="F1F3F5" w:color="auto" w:val="clear"/>
          <w:rtl/>
        </w:rPr>
        <w:t xml:space="preserve">‎BNK2‎</w:t>
      </w:r>
      <w:r>
        <w:rPr>
          <w:rFonts w:ascii="Arial" w:cs="Arial" w:eastAsia="Arial" w:hAnsi="Arial"/>
          <w:b w:val="false"/>
          <w:bCs w:val="false"/>
          <w:sz w:val="21"/>
          <w:szCs w:val="21"/>
          <w:rtl/>
        </w:rPr>
        <w:t xml:space="preserve"> جهةً افتراضية، وتُضبط القناة DIRECT_INTEGRATION. </w:t>
      </w:r>
      <w:r>
        <w:rPr>
          <w:rFonts w:ascii="Arial" w:cs="Arial" w:eastAsia="Arial" w:hAnsi="Arial"/>
          <w:b w:val="false"/>
          <w:bCs w:val="false"/>
          <w:i/>
          <w:iCs/>
          <w:sz w:val="21"/>
          <w:szCs w:val="21"/>
          <w:rtl/>
        </w:rPr>
        <w:t xml:space="preserve">Then</w:t>
      </w:r>
      <w:r>
        <w:rPr>
          <w:rFonts w:ascii="Arial" w:cs="Arial" w:eastAsia="Arial" w:hAnsi="Arial"/>
          <w:b w:val="false"/>
          <w:bCs w:val="false"/>
          <w:sz w:val="21"/>
          <w:szCs w:val="21"/>
          <w:rtl/>
        </w:rPr>
        <w:t xml:space="preserve"> المحاولة الثانية تفتح العلاقة القائمة؛ الرتبة المكررة مرفوضة؛ الاستبدال يغلق الصف القديم ويبقيه؛ المنتج غير النشط والجهة الخارجية مرفوضان؛ القناة الافتراضية «نموذج يدوي»، وDIRECT_INTEGRATION مرفوضة برسالة «غير مفعّل».</w:t>
      </w:r>
    </w:p>
    <w:p>
      <w:pPr>
        <w:bidi/>
        <w:spacing w:after="110" w:before="0" w:line="312"/>
      </w:pPr>
      <w:r>
        <w:rPr>
          <w:rFonts w:ascii="Arial" w:cs="Arial" w:eastAsia="Arial" w:hAnsi="Arial"/>
          <w:b/>
          <w:bCs/>
          <w:sz w:val="21"/>
          <w:szCs w:val="21"/>
          <w:rtl/>
        </w:rPr>
        <w:t xml:space="preserve">AC-INS-7 — الإغلاق ومسودة المعالج (FR-INS-015، FR-INS-016).</w:t>
      </w:r>
      <w:r>
        <w:rPr>
          <w:rFonts w:ascii="Arial" w:cs="Arial" w:eastAsia="Arial" w:hAnsi="Arial"/>
          <w:b w:val="false"/>
          <w:bCs w:val="false"/>
          <w:sz w:val="21"/>
          <w:szCs w:val="21"/>
          <w:rtl/>
        </w:rPr>
        <w:t xml:space="preserve"> </w:t>
      </w:r>
      <w:r>
        <w:rPr>
          <w:rFonts w:ascii="Arial" w:cs="Arial" w:eastAsia="Arial" w:hAnsi="Arial"/>
          <w:b w:val="false"/>
          <w:bCs w:val="false"/>
          <w:i/>
          <w:iCs/>
          <w:sz w:val="21"/>
          <w:szCs w:val="21"/>
          <w:rtl/>
        </w:rPr>
        <w:t xml:space="preserve">Given</w:t>
      </w:r>
      <w:r>
        <w:rPr>
          <w:rFonts w:ascii="Arial" w:cs="Arial" w:eastAsia="Arial" w:hAnsi="Arial"/>
          <w:b w:val="false"/>
          <w:bCs w:val="false"/>
          <w:sz w:val="21"/>
          <w:szCs w:val="21"/>
          <w:rtl/>
        </w:rPr>
        <w:t xml:space="preserve"> علاقة لها حساب نشط، ومعالج إعداد بنك متوقفًا عند الخطوة الثالثة. </w:t>
      </w:r>
      <w:r>
        <w:rPr>
          <w:rFonts w:ascii="Arial" w:cs="Arial" w:eastAsia="Arial" w:hAnsi="Arial"/>
          <w:b w:val="false"/>
          <w:bCs w:val="false"/>
          <w:i/>
          <w:iCs/>
          <w:sz w:val="21"/>
          <w:szCs w:val="21"/>
          <w:rtl/>
        </w:rPr>
        <w:t xml:space="preserve">When</w:t>
      </w:r>
      <w:r>
        <w:rPr>
          <w:rFonts w:ascii="Arial" w:cs="Arial" w:eastAsia="Arial" w:hAnsi="Arial"/>
          <w:b w:val="false"/>
          <w:bCs w:val="false"/>
          <w:sz w:val="21"/>
          <w:szCs w:val="21"/>
          <w:rtl/>
        </w:rPr>
        <w:t xml:space="preserve"> تُغلق العلاقة، ثم يُحفظ المعالج مسودة ويُستأنف. </w:t>
      </w:r>
      <w:r>
        <w:rPr>
          <w:rFonts w:ascii="Arial" w:cs="Arial" w:eastAsia="Arial" w:hAnsi="Arial"/>
          <w:b w:val="false"/>
          <w:bCs w:val="false"/>
          <w:i/>
          <w:iCs/>
          <w:sz w:val="21"/>
          <w:szCs w:val="21"/>
          <w:rtl/>
        </w:rPr>
        <w:t xml:space="preserve">Then</w:t>
      </w:r>
      <w:r>
        <w:rPr>
          <w:rFonts w:ascii="Arial" w:cs="Arial" w:eastAsia="Arial" w:hAnsi="Arial"/>
          <w:b w:val="false"/>
          <w:bCs w:val="false"/>
          <w:sz w:val="21"/>
          <w:szCs w:val="21"/>
          <w:rtl/>
        </w:rPr>
        <w:t xml:space="preserve"> الإغلاق مرفوض بقائمة المراجع؛ المسودة تنشئ منشأة DRAFT وعلاقات PROSPECT؛ والاستئناف يعيد إلى الخطوة الثالثة.</w:t>
      </w:r>
    </w:p>
    <w:p>
      <w:pPr>
        <w:bidi/>
        <w:spacing w:after="110" w:before="0" w:line="312"/>
      </w:pPr>
      <w:r>
        <w:rPr>
          <w:rFonts w:ascii="Arial" w:cs="Arial" w:eastAsia="Arial" w:hAnsi="Arial"/>
          <w:b/>
          <w:bCs/>
          <w:sz w:val="21"/>
          <w:szCs w:val="21"/>
          <w:rtl/>
        </w:rPr>
        <w:t xml:space="preserve">AC-INS-8 — التصعيد والجودة والبحث (FR-INS-017 إلى FR-INS-020).</w:t>
      </w:r>
      <w:r>
        <w:rPr>
          <w:rFonts w:ascii="Arial" w:cs="Arial" w:eastAsia="Arial" w:hAnsi="Arial"/>
          <w:b w:val="false"/>
          <w:bCs w:val="false"/>
          <w:sz w:val="21"/>
          <w:szCs w:val="21"/>
          <w:rtl/>
        </w:rPr>
        <w:t xml:space="preserve"> </w:t>
      </w:r>
      <w:r>
        <w:rPr>
          <w:rFonts w:ascii="Arial" w:cs="Arial" w:eastAsia="Arial" w:hAnsi="Arial"/>
          <w:b w:val="false"/>
          <w:bCs w:val="false"/>
          <w:i/>
          <w:iCs/>
          <w:sz w:val="21"/>
          <w:szCs w:val="21"/>
          <w:rtl/>
        </w:rPr>
        <w:t xml:space="preserve">Given</w:t>
      </w:r>
      <w:r>
        <w:rPr>
          <w:rFonts w:ascii="Arial" w:cs="Arial" w:eastAsia="Arial" w:hAnsi="Arial"/>
          <w:b w:val="false"/>
          <w:bCs w:val="false"/>
          <w:sz w:val="21"/>
          <w:szCs w:val="21"/>
          <w:rtl/>
        </w:rPr>
        <w:t xml:space="preserve"> بيانات اختبار فيها 5,000 جهة اتصال، وعلاقة بلا مدير علاقة، ومنتجًا بلا جهة افتراضية، وجهة بلا وسيلة اتصال. </w:t>
      </w:r>
      <w:r>
        <w:rPr>
          <w:rFonts w:ascii="Arial" w:cs="Arial" w:eastAsia="Arial" w:hAnsi="Arial"/>
          <w:b w:val="false"/>
          <w:bCs w:val="false"/>
          <w:i/>
          <w:iCs/>
          <w:sz w:val="21"/>
          <w:szCs w:val="21"/>
          <w:rtl/>
        </w:rPr>
        <w:t xml:space="preserve">When</w:t>
      </w:r>
      <w:r>
        <w:rPr>
          <w:rFonts w:ascii="Arial" w:cs="Arial" w:eastAsia="Arial" w:hAnsi="Arial"/>
          <w:b w:val="false"/>
          <w:bCs w:val="false"/>
          <w:sz w:val="21"/>
          <w:szCs w:val="21"/>
          <w:rtl/>
        </w:rPr>
        <w:t xml:space="preserve"> تُطبع ورقة التصعيد، ويُشغَّل R-INS-04، ويُبحث بجزء من رقم هاتف، ويُطلب حقل «مرجع الدليل». </w:t>
      </w:r>
      <w:r>
        <w:rPr>
          <w:rFonts w:ascii="Arial" w:cs="Arial" w:eastAsia="Arial" w:hAnsi="Arial"/>
          <w:b w:val="false"/>
          <w:bCs w:val="false"/>
          <w:i/>
          <w:iCs/>
          <w:sz w:val="21"/>
          <w:szCs w:val="21"/>
          <w:rtl/>
        </w:rPr>
        <w:t xml:space="preserve">Then</w:t>
      </w:r>
      <w:r>
        <w:rPr>
          <w:rFonts w:ascii="Arial" w:cs="Arial" w:eastAsia="Arial" w:hAnsi="Arial"/>
          <w:b w:val="false"/>
          <w:bCs w:val="false"/>
          <w:sz w:val="21"/>
          <w:szCs w:val="21"/>
          <w:rtl/>
        </w:rPr>
        <w:t xml:space="preserve"> الورقة تعرض الصفوف النشطة بترتيب Rank؛ التقرير يسرد الحالات الثلاث؛ البحث يعيد الجهة في أقل من ثانيتين (NFR-PERF-02 في DOC-B03)؛ والحقل في الواجهة البرمجية فقط.</w:t>
      </w:r>
    </w:p>
    <w:p>
      <w:pPr>
        <w:pStyle w:val="Heading2"/>
        <w:bidi/>
      </w:pPr>
      <w:bookmarkStart w:name="_sec10" w:id="10"/>
      <w:r>
        <w:rPr>
          <w:rFonts w:ascii="Arial" w:cs="Arial" w:eastAsia="Arial" w:hAnsi="Arial"/>
          <w:b/>
          <w:bCs/>
          <w:color w:val="2B5C8A"/>
          <w:sz w:val="26"/>
          <w:szCs w:val="26"/>
          <w:rtl/>
        </w:rPr>
        <w:t xml:space="preserve">3.5 الحسابات (ACC)</w:t>
      </w:r>
      <w:bookmarkEnd w:id="10"/>
    </w:p>
    <w:p>
      <w:pPr>
        <w:bidi/>
        <w:spacing w:after="110" w:before="0" w:line="312"/>
      </w:pPr>
      <w:r>
        <w:rPr>
          <w:rFonts w:ascii="Arial" w:cs="Arial" w:eastAsia="Arial" w:hAnsi="Arial"/>
          <w:b/>
          <w:bCs/>
          <w:sz w:val="21"/>
          <w:szCs w:val="21"/>
          <w:rtl/>
        </w:rPr>
        <w:t xml:space="preserve">AC-ACC-5 — أنواع الحسابات والعلاقة والتوقيع والحالات (FR-ACC-001، FR-ACC-003، FR-ACC-007، FR-ACC-008).</w:t>
      </w:r>
      <w:r>
        <w:rPr>
          <w:rFonts w:ascii="Arial" w:cs="Arial" w:eastAsia="Arial" w:hAnsi="Arial"/>
          <w:b w:val="false"/>
          <w:bCs w:val="false"/>
          <w:sz w:val="21"/>
          <w:szCs w:val="21"/>
          <w:rtl/>
        </w:rPr>
        <w:t xml:space="preserve"> </w:t>
      </w:r>
      <w:r>
        <w:rPr>
          <w:rFonts w:ascii="Arial" w:cs="Arial" w:eastAsia="Arial" w:hAnsi="Arial"/>
          <w:b w:val="false"/>
          <w:bCs w:val="false"/>
          <w:i/>
          <w:iCs/>
          <w:sz w:val="21"/>
          <w:szCs w:val="21"/>
          <w:rtl/>
        </w:rPr>
        <w:t xml:space="preserve">Given</w:t>
      </w:r>
      <w:r>
        <w:rPr>
          <w:rFonts w:ascii="Arial" w:cs="Arial" w:eastAsia="Arial" w:hAnsi="Arial"/>
          <w:b w:val="false"/>
          <w:bCs w:val="false"/>
          <w:sz w:val="21"/>
          <w:szCs w:val="21"/>
          <w:rtl/>
        </w:rPr>
        <w:t xml:space="preserve"> مشتركًا بعد التهيئة، وشركة C3 بلا علاقة مع </w:t>
      </w:r>
      <w:r>
        <w:rPr>
          <w:rFonts w:ascii="Courier New" w:cs="Courier New" w:eastAsia="Courier New" w:hAnsi="Courier New"/>
          <w:b w:val="false"/>
          <w:bCs w:val="false"/>
          <w:color w:val="1F2937"/>
          <w:sz w:val="18"/>
          <w:szCs w:val="18"/>
          <w:shd w:fill="F1F3F5" w:color="auto" w:val="clear"/>
          <w:rtl/>
        </w:rPr>
        <w:t xml:space="preserve">‎BNK1‎</w:t>
      </w:r>
      <w:r>
        <w:rPr>
          <w:rFonts w:ascii="Arial" w:cs="Arial" w:eastAsia="Arial" w:hAnsi="Arial"/>
          <w:b w:val="false"/>
          <w:bCs w:val="false"/>
          <w:sz w:val="21"/>
          <w:szCs w:val="21"/>
          <w:rtl/>
        </w:rPr>
        <w:t xml:space="preserve">. </w:t>
      </w:r>
      <w:r>
        <w:rPr>
          <w:rFonts w:ascii="Arial" w:cs="Arial" w:eastAsia="Arial" w:hAnsi="Arial"/>
          <w:b w:val="false"/>
          <w:bCs w:val="false"/>
          <w:i/>
          <w:iCs/>
          <w:sz w:val="21"/>
          <w:szCs w:val="21"/>
          <w:rtl/>
        </w:rPr>
        <w:t xml:space="preserve">When</w:t>
      </w:r>
      <w:r>
        <w:rPr>
          <w:rFonts w:ascii="Arial" w:cs="Arial" w:eastAsia="Arial" w:hAnsi="Arial"/>
          <w:b w:val="false"/>
          <w:bCs w:val="false"/>
          <w:sz w:val="21"/>
          <w:szCs w:val="21"/>
          <w:rtl/>
        </w:rPr>
        <w:t xml:space="preserve"> تُعرض أنواع الحسابات، ثم يُنشأ حساب لـ C3 لدى </w:t>
      </w:r>
      <w:r>
        <w:rPr>
          <w:rFonts w:ascii="Courier New" w:cs="Courier New" w:eastAsia="Courier New" w:hAnsi="Courier New"/>
          <w:b w:val="false"/>
          <w:bCs w:val="false"/>
          <w:color w:val="1F2937"/>
          <w:sz w:val="18"/>
          <w:szCs w:val="18"/>
          <w:shd w:fill="F1F3F5" w:color="auto" w:val="clear"/>
          <w:rtl/>
        </w:rPr>
        <w:t xml:space="preserve">‎BNK1‎</w:t>
      </w:r>
      <w:r>
        <w:rPr>
          <w:rFonts w:ascii="Arial" w:cs="Arial" w:eastAsia="Arial" w:hAnsi="Arial"/>
          <w:b w:val="false"/>
          <w:bCs w:val="false"/>
          <w:sz w:val="21"/>
          <w:szCs w:val="21"/>
          <w:rtl/>
        </w:rPr>
        <w:t xml:space="preserve">، ثم تُضبط قاعدة التوقيع «أ مع ب» بالقيمة 0 ثم 2، ثم يُغلق الحساب بلا سبب ثم بتاريخ وسبب، ثم يُعدَّل رقمه. </w:t>
      </w:r>
      <w:r>
        <w:rPr>
          <w:rFonts w:ascii="Arial" w:cs="Arial" w:eastAsia="Arial" w:hAnsi="Arial"/>
          <w:b w:val="false"/>
          <w:bCs w:val="false"/>
          <w:i/>
          <w:iCs/>
          <w:sz w:val="21"/>
          <w:szCs w:val="21"/>
          <w:rtl/>
        </w:rPr>
        <w:t xml:space="preserve">Then</w:t>
      </w:r>
      <w:r>
        <w:rPr>
          <w:rFonts w:ascii="Arial" w:cs="Arial" w:eastAsia="Arial" w:hAnsi="Arial"/>
          <w:b w:val="false"/>
          <w:bCs w:val="false"/>
          <w:sz w:val="21"/>
          <w:szCs w:val="21"/>
          <w:rtl/>
        </w:rPr>
        <w:t xml:space="preserve"> 8 أنواع وعلم الافتراضي على VIRTUAL وحده؛ الحفظ يعرض إنشاء العلاقة وينشئها ACTIVE بعد التأكيد؛ القيمة 0 مرفوضة و2 مقبولة؛ الإغلاق بلا سبب مرفوض؛ والحساب المغلق لا يُعدَّل إلا في الملاحظات.</w:t>
      </w:r>
    </w:p>
    <w:p>
      <w:pPr>
        <w:bidi/>
        <w:spacing w:after="110" w:before="0" w:line="312"/>
      </w:pPr>
      <w:r>
        <w:rPr>
          <w:rFonts w:ascii="Arial" w:cs="Arial" w:eastAsia="Arial" w:hAnsi="Arial"/>
          <w:b/>
          <w:bCs/>
          <w:sz w:val="21"/>
          <w:szCs w:val="21"/>
          <w:rtl/>
        </w:rPr>
        <w:t xml:space="preserve">AC-ACC-6 — صورة نموذج التوقيع (FR-ACC-022، Could).</w:t>
      </w:r>
      <w:r>
        <w:rPr>
          <w:rFonts w:ascii="Arial" w:cs="Arial" w:eastAsia="Arial" w:hAnsi="Arial"/>
          <w:b w:val="false"/>
          <w:bCs w:val="false"/>
          <w:sz w:val="21"/>
          <w:szCs w:val="21"/>
          <w:rtl/>
        </w:rPr>
        <w:t xml:space="preserve"> </w:t>
      </w:r>
      <w:r>
        <w:rPr>
          <w:rFonts w:ascii="Arial" w:cs="Arial" w:eastAsia="Arial" w:hAnsi="Arial"/>
          <w:b w:val="false"/>
          <w:bCs w:val="false"/>
          <w:i/>
          <w:iCs/>
          <w:sz w:val="21"/>
          <w:szCs w:val="21"/>
          <w:rtl/>
        </w:rPr>
        <w:t xml:space="preserve">Given</w:t>
      </w:r>
      <w:r>
        <w:rPr>
          <w:rFonts w:ascii="Arial" w:cs="Arial" w:eastAsia="Arial" w:hAnsi="Arial"/>
          <w:b w:val="false"/>
          <w:bCs w:val="false"/>
          <w:sz w:val="21"/>
          <w:szCs w:val="21"/>
          <w:rtl/>
        </w:rPr>
        <w:t xml:space="preserve"> مفوّضًا مُدخَلًا من بيانات S1-ب. </w:t>
      </w:r>
      <w:r>
        <w:rPr>
          <w:rFonts w:ascii="Arial" w:cs="Arial" w:eastAsia="Arial" w:hAnsi="Arial"/>
          <w:b w:val="false"/>
          <w:bCs w:val="false"/>
          <w:i/>
          <w:iCs/>
          <w:sz w:val="21"/>
          <w:szCs w:val="21"/>
          <w:rtl/>
        </w:rPr>
        <w:t xml:space="preserve">When</w:t>
      </w:r>
      <w:r>
        <w:rPr>
          <w:rFonts w:ascii="Arial" w:cs="Arial" w:eastAsia="Arial" w:hAnsi="Arial"/>
          <w:b w:val="false"/>
          <w:bCs w:val="false"/>
          <w:sz w:val="21"/>
          <w:szCs w:val="21"/>
          <w:rtl/>
        </w:rPr>
        <w:t xml:space="preserve"> تُرفق صورة نموذج توقيعه، ويطلب عرضها موظف خزينة ثم مسؤول تسهيلات. </w:t>
      </w:r>
      <w:r>
        <w:rPr>
          <w:rFonts w:ascii="Arial" w:cs="Arial" w:eastAsia="Arial" w:hAnsi="Arial"/>
          <w:b w:val="false"/>
          <w:bCs w:val="false"/>
          <w:i/>
          <w:iCs/>
          <w:sz w:val="21"/>
          <w:szCs w:val="21"/>
          <w:rtl/>
        </w:rPr>
        <w:t xml:space="preserve">Then</w:t>
      </w:r>
      <w:r>
        <w:rPr>
          <w:rFonts w:ascii="Arial" w:cs="Arial" w:eastAsia="Arial" w:hAnsi="Arial"/>
          <w:b w:val="false"/>
          <w:bCs w:val="false"/>
          <w:sz w:val="21"/>
          <w:szCs w:val="21"/>
          <w:rtl/>
        </w:rPr>
        <w:t xml:space="preserve"> تُحفظ مستندًا مقيَّدًا على سجل المفوّض؛ الموظف يتلقى 403؛ والمسؤول يراها بحدث تدقيق. التنفيذ مشروط بـ Q-ACC-01 وببيانات S1-ب.</w:t>
      </w:r>
    </w:p>
    <w:p>
      <w:pPr>
        <w:pStyle w:val="Heading2"/>
        <w:bidi/>
      </w:pPr>
      <w:bookmarkStart w:name="_sec11" w:id="11"/>
      <w:r>
        <w:rPr>
          <w:rFonts w:ascii="Arial" w:cs="Arial" w:eastAsia="Arial" w:hAnsi="Arial"/>
          <w:b/>
          <w:bCs/>
          <w:color w:val="2B5C8A"/>
          <w:sz w:val="26"/>
          <w:szCs w:val="26"/>
          <w:rtl/>
        </w:rPr>
        <w:t xml:space="preserve">3.6 الكتالوجات (CAT)</w:t>
      </w:r>
      <w:bookmarkEnd w:id="11"/>
    </w:p>
    <w:p>
      <w:pPr>
        <w:bidi/>
        <w:spacing w:after="110" w:before="0" w:line="312"/>
      </w:pPr>
      <w:r>
        <w:rPr>
          <w:rFonts w:ascii="Arial" w:cs="Arial" w:eastAsia="Arial" w:hAnsi="Arial"/>
          <w:b/>
          <w:bCs/>
          <w:sz w:val="21"/>
          <w:szCs w:val="21"/>
          <w:rtl/>
        </w:rPr>
        <w:t xml:space="preserve">AC-CAT-4 — إطار الكتالوج والتدقيق (FR-CAT-001، FR-CAT-005، FR-CAT-025).</w:t>
      </w:r>
      <w:r>
        <w:rPr>
          <w:rFonts w:ascii="Arial" w:cs="Arial" w:eastAsia="Arial" w:hAnsi="Arial"/>
          <w:b w:val="false"/>
          <w:bCs w:val="false"/>
          <w:sz w:val="21"/>
          <w:szCs w:val="21"/>
          <w:rtl/>
        </w:rPr>
        <w:t xml:space="preserve"> </w:t>
      </w:r>
      <w:r>
        <w:rPr>
          <w:rFonts w:ascii="Arial" w:cs="Arial" w:eastAsia="Arial" w:hAnsi="Arial"/>
          <w:b w:val="false"/>
          <w:bCs w:val="false"/>
          <w:i/>
          <w:iCs/>
          <w:sz w:val="21"/>
          <w:szCs w:val="21"/>
          <w:rtl/>
        </w:rPr>
        <w:t xml:space="preserve">Given</w:t>
      </w:r>
      <w:r>
        <w:rPr>
          <w:rFonts w:ascii="Arial" w:cs="Arial" w:eastAsia="Arial" w:hAnsi="Arial"/>
          <w:b w:val="false"/>
          <w:bCs w:val="false"/>
          <w:sz w:val="21"/>
          <w:szCs w:val="21"/>
          <w:rtl/>
        </w:rPr>
        <w:t xml:space="preserve"> كتالوج أنواع المصاريف. </w:t>
      </w:r>
      <w:r>
        <w:rPr>
          <w:rFonts w:ascii="Arial" w:cs="Arial" w:eastAsia="Arial" w:hAnsi="Arial"/>
          <w:b w:val="false"/>
          <w:bCs w:val="false"/>
          <w:i/>
          <w:iCs/>
          <w:sz w:val="21"/>
          <w:szCs w:val="21"/>
          <w:rtl/>
        </w:rPr>
        <w:t xml:space="preserve">When</w:t>
      </w:r>
      <w:r>
        <w:rPr>
          <w:rFonts w:ascii="Arial" w:cs="Arial" w:eastAsia="Arial" w:hAnsi="Arial"/>
          <w:b w:val="false"/>
          <w:bCs w:val="false"/>
          <w:sz w:val="21"/>
          <w:szCs w:val="21"/>
          <w:rtl/>
        </w:rPr>
        <w:t xml:space="preserve"> يُضاف بند، ويُعدَّل اسمه، ويُغيَّر الترتيب بالسحب، ويُبحث، ويُطلب إظهار المعطَّل. </w:t>
      </w:r>
      <w:r>
        <w:rPr>
          <w:rFonts w:ascii="Arial" w:cs="Arial" w:eastAsia="Arial" w:hAnsi="Arial"/>
          <w:b w:val="false"/>
          <w:bCs w:val="false"/>
          <w:i/>
          <w:iCs/>
          <w:sz w:val="21"/>
          <w:szCs w:val="21"/>
          <w:rtl/>
        </w:rPr>
        <w:t xml:space="preserve">Then</w:t>
      </w:r>
      <w:r>
        <w:rPr>
          <w:rFonts w:ascii="Arial" w:cs="Arial" w:eastAsia="Arial" w:hAnsi="Arial"/>
          <w:b w:val="false"/>
          <w:bCs w:val="false"/>
          <w:sz w:val="21"/>
          <w:szCs w:val="21"/>
          <w:rtl/>
        </w:rPr>
        <w:t xml:space="preserve"> كل كتالوجات 11 §6.3 تحمل الحقول الموحدة؛ الترتيب ينعكس في القوائم المنسدلة؛ وتعديل الاسم ينتج سطر تدقيق بالقيمتين والمستخدم والوقت.</w:t>
      </w:r>
    </w:p>
    <w:p>
      <w:pPr>
        <w:bidi/>
        <w:spacing w:after="110" w:before="0" w:line="312"/>
      </w:pPr>
      <w:r>
        <w:rPr>
          <w:rFonts w:ascii="Arial" w:cs="Arial" w:eastAsia="Arial" w:hAnsi="Arial"/>
          <w:b/>
          <w:bCs/>
          <w:sz w:val="21"/>
          <w:szCs w:val="21"/>
          <w:rtl/>
        </w:rPr>
        <w:t xml:space="preserve">AC-CAT-5 — المنتجات والمصاريف والتمويل (FR-CAT-007 إلى FR-CAT-010، FR-CAT-022).</w:t>
      </w:r>
      <w:r>
        <w:rPr>
          <w:rFonts w:ascii="Arial" w:cs="Arial" w:eastAsia="Arial" w:hAnsi="Arial"/>
          <w:b w:val="false"/>
          <w:bCs w:val="false"/>
          <w:sz w:val="21"/>
          <w:szCs w:val="21"/>
          <w:rtl/>
        </w:rPr>
        <w:t xml:space="preserve"> </w:t>
      </w:r>
      <w:r>
        <w:rPr>
          <w:rFonts w:ascii="Arial" w:cs="Arial" w:eastAsia="Arial" w:hAnsi="Arial"/>
          <w:b w:val="false"/>
          <w:bCs w:val="false"/>
          <w:i/>
          <w:iCs/>
          <w:sz w:val="21"/>
          <w:szCs w:val="21"/>
          <w:rtl/>
        </w:rPr>
        <w:t xml:space="preserve">Given</w:t>
      </w:r>
      <w:r>
        <w:rPr>
          <w:rFonts w:ascii="Arial" w:cs="Arial" w:eastAsia="Arial" w:hAnsi="Arial"/>
          <w:b w:val="false"/>
          <w:bCs w:val="false"/>
          <w:sz w:val="21"/>
          <w:szCs w:val="21"/>
          <w:rtl/>
        </w:rPr>
        <w:t xml:space="preserve"> منتجي اعتماد مستندي تقليدي ومرابحة في مجموعة متغيرات واحدة، ونوع مصروف «عقوبة غير إيرادية»، ونوعي تمويل إسلامي وتقليدي. </w:t>
      </w:r>
      <w:r>
        <w:rPr>
          <w:rFonts w:ascii="Arial" w:cs="Arial" w:eastAsia="Arial" w:hAnsi="Arial"/>
          <w:b w:val="false"/>
          <w:bCs w:val="false"/>
          <w:i/>
          <w:iCs/>
          <w:sz w:val="21"/>
          <w:szCs w:val="21"/>
          <w:rtl/>
        </w:rPr>
        <w:t xml:space="preserve">When</w:t>
      </w:r>
      <w:r>
        <w:rPr>
          <w:rFonts w:ascii="Arial" w:cs="Arial" w:eastAsia="Arial" w:hAnsi="Arial"/>
          <w:b w:val="false"/>
          <w:bCs w:val="false"/>
          <w:sz w:val="21"/>
          <w:szCs w:val="21"/>
          <w:rtl/>
        </w:rPr>
        <w:t xml:space="preserve"> يُضاف منتج ثالث بالامتثال نفسه إلى المجموعة، ويُربط مصروف بمنتج مرتين، ويُستدعى SVC-08، ويُغيَّر علم «يستهلك حدًّا» لمنتج مستعمل بلا تأكيد ثم بتأكيد TM. </w:t>
      </w:r>
      <w:r>
        <w:rPr>
          <w:rFonts w:ascii="Arial" w:cs="Arial" w:eastAsia="Arial" w:hAnsi="Arial"/>
          <w:b w:val="false"/>
          <w:bCs w:val="false"/>
          <w:i/>
          <w:iCs/>
          <w:sz w:val="21"/>
          <w:szCs w:val="21"/>
          <w:rtl/>
        </w:rPr>
        <w:t xml:space="preserve">Then</w:t>
      </w:r>
      <w:r>
        <w:rPr>
          <w:rFonts w:ascii="Arial" w:cs="Arial" w:eastAsia="Arial" w:hAnsi="Arial"/>
          <w:b w:val="false"/>
          <w:bCs w:val="false"/>
          <w:sz w:val="21"/>
          <w:szCs w:val="21"/>
          <w:rtl/>
        </w:rPr>
        <w:t xml:space="preserve"> الثالث والربط المكرر مرفوضان؛ SVC-08 تعيد القوائم المسموحة؛ الإسلامي يعرض «ربح» والتقليدي «فائدة»؛ التغيير بلا تأكيد مرفوض ومعه مدقَّق بالقيمتين. استثناء العقوبة من الإيراد يُختبر في S2.</w:t>
      </w:r>
    </w:p>
    <w:p>
      <w:pPr>
        <w:bidi/>
        <w:spacing w:after="110" w:before="0" w:line="312"/>
      </w:pPr>
      <w:r>
        <w:rPr>
          <w:rFonts w:ascii="Arial" w:cs="Arial" w:eastAsia="Arial" w:hAnsi="Arial"/>
          <w:b/>
          <w:bCs/>
          <w:sz w:val="21"/>
          <w:szCs w:val="21"/>
          <w:rtl/>
        </w:rPr>
        <w:t xml:space="preserve">AC-CAT-6 — كتالوجات التسهيلات والضمانات والالتزامات (FR-CAT-011 إلى FR-CAT-014).</w:t>
      </w:r>
      <w:r>
        <w:rPr>
          <w:rFonts w:ascii="Arial" w:cs="Arial" w:eastAsia="Arial" w:hAnsi="Arial"/>
          <w:b w:val="false"/>
          <w:bCs w:val="false"/>
          <w:sz w:val="21"/>
          <w:szCs w:val="21"/>
          <w:rtl/>
        </w:rPr>
        <w:t xml:space="preserve"> </w:t>
      </w:r>
      <w:r>
        <w:rPr>
          <w:rFonts w:ascii="Arial" w:cs="Arial" w:eastAsia="Arial" w:hAnsi="Arial"/>
          <w:b w:val="false"/>
          <w:bCs w:val="false"/>
          <w:i/>
          <w:iCs/>
          <w:sz w:val="21"/>
          <w:szCs w:val="21"/>
          <w:rtl/>
        </w:rPr>
        <w:t xml:space="preserve">Given</w:t>
      </w:r>
      <w:r>
        <w:rPr>
          <w:rFonts w:ascii="Arial" w:cs="Arial" w:eastAsia="Arial" w:hAnsi="Arial"/>
          <w:b w:val="false"/>
          <w:bCs w:val="false"/>
          <w:sz w:val="21"/>
          <w:szCs w:val="21"/>
          <w:rtl/>
        </w:rPr>
        <w:t xml:space="preserve"> مشتركًا بعد التهيئة. </w:t>
      </w:r>
      <w:r>
        <w:rPr>
          <w:rFonts w:ascii="Arial" w:cs="Arial" w:eastAsia="Arial" w:hAnsi="Arial"/>
          <w:b w:val="false"/>
          <w:bCs w:val="false"/>
          <w:i/>
          <w:iCs/>
          <w:sz w:val="21"/>
          <w:szCs w:val="21"/>
          <w:rtl/>
        </w:rPr>
        <w:t xml:space="preserve">When</w:t>
      </w:r>
      <w:r>
        <w:rPr>
          <w:rFonts w:ascii="Arial" w:cs="Arial" w:eastAsia="Arial" w:hAnsi="Arial"/>
          <w:b w:val="false"/>
          <w:bCs w:val="false"/>
          <w:sz w:val="21"/>
          <w:szCs w:val="21"/>
          <w:rtl/>
        </w:rPr>
        <w:t xml:space="preserve"> تُعرض الأعداد، ويُعرَّف حد جزئي بلا أب وحد رئيسي بأب، ويُضاف مفتاح سمة مكرر لقالب العقار، ويُعرَّف تعهد وصفي. </w:t>
      </w:r>
      <w:r>
        <w:rPr>
          <w:rFonts w:ascii="Arial" w:cs="Arial" w:eastAsia="Arial" w:hAnsi="Arial"/>
          <w:b w:val="false"/>
          <w:bCs w:val="false"/>
          <w:i/>
          <w:iCs/>
          <w:sz w:val="21"/>
          <w:szCs w:val="21"/>
          <w:rtl/>
        </w:rPr>
        <w:t xml:space="preserve">Then</w:t>
      </w:r>
      <w:r>
        <w:rPr>
          <w:rFonts w:ascii="Arial" w:cs="Arial" w:eastAsia="Arial" w:hAnsi="Arial"/>
          <w:b w:val="false"/>
          <w:bCs w:val="false"/>
          <w:sz w:val="21"/>
          <w:szCs w:val="21"/>
          <w:rtl/>
        </w:rPr>
        <w:t xml:space="preserve"> 6 أنواع تسهيلات و30 نوع التزام وقالب عقار بسبع سمات؛ الحالتان الخاطئتان للحد مرفوضتان؛ المفتاح المكرر مرفوض؛ والتعهد الوصفي يُحفظ بلا مقياس.</w:t>
      </w:r>
    </w:p>
    <w:p>
      <w:pPr>
        <w:bidi/>
        <w:spacing w:after="110" w:before="0" w:line="312"/>
      </w:pPr>
      <w:r>
        <w:rPr>
          <w:rFonts w:ascii="Arial" w:cs="Arial" w:eastAsia="Arial" w:hAnsi="Arial"/>
          <w:b/>
          <w:bCs/>
          <w:sz w:val="21"/>
          <w:szCs w:val="21"/>
          <w:rtl/>
        </w:rPr>
        <w:t xml:space="preserve">AC-CAT-7 — القوائم والمرجع العالمي والعملات (FR-CAT-020، FR-CAT-021، FR-CAT-023).</w:t>
      </w:r>
      <w:r>
        <w:rPr>
          <w:rFonts w:ascii="Arial" w:cs="Arial" w:eastAsia="Arial" w:hAnsi="Arial"/>
          <w:b w:val="false"/>
          <w:bCs w:val="false"/>
          <w:sz w:val="21"/>
          <w:szCs w:val="21"/>
          <w:rtl/>
        </w:rPr>
        <w:t xml:space="preserve"> </w:t>
      </w:r>
      <w:r>
        <w:rPr>
          <w:rFonts w:ascii="Arial" w:cs="Arial" w:eastAsia="Arial" w:hAnsi="Arial"/>
          <w:b w:val="false"/>
          <w:bCs w:val="false"/>
          <w:i/>
          <w:iCs/>
          <w:sz w:val="21"/>
          <w:szCs w:val="21"/>
          <w:rtl/>
        </w:rPr>
        <w:t xml:space="preserve">Given</w:t>
      </w:r>
      <w:r>
        <w:rPr>
          <w:rFonts w:ascii="Arial" w:cs="Arial" w:eastAsia="Arial" w:hAnsi="Arial"/>
          <w:b w:val="false"/>
          <w:bCs w:val="false"/>
          <w:sz w:val="21"/>
          <w:szCs w:val="21"/>
          <w:rtl/>
        </w:rPr>
        <w:t xml:space="preserve"> قائمة نظام (Scope=SYSTEM) لا تسمح ببنود المشترك، وقائمة للمشترك، والمرجع العالمي للعملات. </w:t>
      </w:r>
      <w:r>
        <w:rPr>
          <w:rFonts w:ascii="Arial" w:cs="Arial" w:eastAsia="Arial" w:hAnsi="Arial"/>
          <w:b w:val="false"/>
          <w:bCs w:val="false"/>
          <w:i/>
          <w:iCs/>
          <w:sz w:val="21"/>
          <w:szCs w:val="21"/>
          <w:rtl/>
        </w:rPr>
        <w:t xml:space="preserve">When</w:t>
      </w:r>
      <w:r>
        <w:rPr>
          <w:rFonts w:ascii="Arial" w:cs="Arial" w:eastAsia="Arial" w:hAnsi="Arial"/>
          <w:b w:val="false"/>
          <w:bCs w:val="false"/>
          <w:sz w:val="21"/>
          <w:szCs w:val="21"/>
          <w:rtl/>
        </w:rPr>
        <w:t xml:space="preserve"> يُضاف بند إلى كل قائمة، وتُعرض Incoterms، ويحاول دور التطبيق كتابة صف في ref.Currency، وتُفعَّل للمشترك مجموعة جزئية من العملات. </w:t>
      </w:r>
      <w:r>
        <w:rPr>
          <w:rFonts w:ascii="Arial" w:cs="Arial" w:eastAsia="Arial" w:hAnsi="Arial"/>
          <w:b w:val="false"/>
          <w:bCs w:val="false"/>
          <w:i/>
          <w:iCs/>
          <w:sz w:val="21"/>
          <w:szCs w:val="21"/>
          <w:rtl/>
        </w:rPr>
        <w:t xml:space="preserve">Then</w:t>
      </w:r>
      <w:r>
        <w:rPr>
          <w:rFonts w:ascii="Arial" w:cs="Arial" w:eastAsia="Arial" w:hAnsi="Arial"/>
          <w:b w:val="false"/>
          <w:bCs w:val="false"/>
          <w:sz w:val="21"/>
          <w:szCs w:val="21"/>
          <w:rtl/>
        </w:rPr>
        <w:t xml:space="preserve"> الإضافة إلى قائمة النظام مرفوضة وإلى قائمة المشترك مقبولة؛ 11 قاعدة نشطة و5 قديمة غير قابلة للاختيار؛ الكتابة على ref.Currency مرفوضة (حالة قاعدة مقترحة، docs/20-database-design.md:493)؛ والعملة غير المفعّلة لا تظهر في الاختيار وتبقى في السجلات.</w:t>
      </w:r>
    </w:p>
    <w:p>
      <w:pPr>
        <w:pStyle w:val="Heading2"/>
        <w:bidi/>
      </w:pPr>
      <w:bookmarkStart w:name="_sec12" w:id="12"/>
      <w:r>
        <w:rPr>
          <w:rFonts w:ascii="Arial" w:cs="Arial" w:eastAsia="Arial" w:hAnsi="Arial"/>
          <w:b/>
          <w:bCs/>
          <w:color w:val="2B5C8A"/>
          <w:sz w:val="26"/>
          <w:szCs w:val="26"/>
          <w:rtl/>
        </w:rPr>
        <w:t xml:space="preserve">3.7 الإشعارات (NTF)</w:t>
      </w:r>
      <w:bookmarkEnd w:id="12"/>
    </w:p>
    <w:p>
      <w:pPr>
        <w:bidi/>
        <w:spacing w:after="110" w:before="0" w:line="312"/>
      </w:pPr>
      <w:r>
        <w:rPr>
          <w:rFonts w:ascii="Arial" w:cs="Arial" w:eastAsia="Arial" w:hAnsi="Arial"/>
          <w:b/>
          <w:bCs/>
          <w:sz w:val="21"/>
          <w:szCs w:val="21"/>
          <w:rtl/>
        </w:rPr>
        <w:t xml:space="preserve">AC-NTF-1 — واجهة الإصدار وحماية المحتوى (FR-NTF-002، FR-NTF-012، FR-NTF-021).</w:t>
      </w:r>
      <w:r>
        <w:rPr>
          <w:rFonts w:ascii="Arial" w:cs="Arial" w:eastAsia="Arial" w:hAnsi="Arial"/>
          <w:b w:val="false"/>
          <w:bCs w:val="false"/>
          <w:sz w:val="21"/>
          <w:szCs w:val="21"/>
          <w:rtl/>
        </w:rPr>
        <w:t xml:space="preserve"> </w:t>
      </w:r>
      <w:r>
        <w:rPr>
          <w:rFonts w:ascii="Arial" w:cs="Arial" w:eastAsia="Arial" w:hAnsi="Arial"/>
          <w:b w:val="false"/>
          <w:bCs w:val="false"/>
          <w:i/>
          <w:iCs/>
          <w:sz w:val="21"/>
          <w:szCs w:val="21"/>
          <w:rtl/>
        </w:rPr>
        <w:t xml:space="preserve">Given</w:t>
      </w:r>
      <w:r>
        <w:rPr>
          <w:rFonts w:ascii="Arial" w:cs="Arial" w:eastAsia="Arial" w:hAnsi="Arial"/>
          <w:b w:val="false"/>
          <w:bCs w:val="false"/>
          <w:sz w:val="21"/>
          <w:szCs w:val="21"/>
          <w:rtl/>
        </w:rPr>
        <w:t xml:space="preserve"> قوالب البذور Ar/En لكل حدث. </w:t>
      </w:r>
      <w:r>
        <w:rPr>
          <w:rFonts w:ascii="Arial" w:cs="Arial" w:eastAsia="Arial" w:hAnsi="Arial"/>
          <w:b w:val="false"/>
          <w:bCs w:val="false"/>
          <w:i/>
          <w:iCs/>
          <w:sz w:val="21"/>
          <w:szCs w:val="21"/>
          <w:rtl/>
        </w:rPr>
        <w:t xml:space="preserve">When</w:t>
      </w:r>
      <w:r>
        <w:rPr>
          <w:rFonts w:ascii="Arial" w:cs="Arial" w:eastAsia="Arial" w:hAnsi="Arial"/>
          <w:b w:val="false"/>
          <w:bCs w:val="false"/>
          <w:sz w:val="21"/>
          <w:szCs w:val="21"/>
          <w:rtl/>
        </w:rPr>
        <w:t xml:space="preserve"> تستدعي وحدة Emit بحمولة فيها رقم هوية، ويحفظ مستخدم مخوَّل قالبًا فيه </w:t>
      </w:r>
      <w:r>
        <w:rPr>
          <w:rFonts w:ascii="Courier New" w:cs="Courier New" w:eastAsia="Courier New" w:hAnsi="Courier New"/>
          <w:b w:val="false"/>
          <w:bCs w:val="false"/>
          <w:color w:val="1F2937"/>
          <w:sz w:val="18"/>
          <w:szCs w:val="18"/>
          <w:shd w:fill="F1F3F5" w:color="auto" w:val="clear"/>
          <w:rtl/>
        </w:rPr>
        <w:t xml:space="preserve">‎{IdNumber}‎</w:t>
      </w:r>
      <w:r>
        <w:rPr>
          <w:rFonts w:ascii="Arial" w:cs="Arial" w:eastAsia="Arial" w:hAnsi="Arial"/>
          <w:b w:val="false"/>
          <w:bCs w:val="false"/>
          <w:sz w:val="21"/>
          <w:szCs w:val="21"/>
          <w:rtl/>
        </w:rPr>
        <w:t xml:space="preserve">، ويُشغَّل المسح الآلي لقوالب البذور. </w:t>
      </w:r>
      <w:r>
        <w:rPr>
          <w:rFonts w:ascii="Arial" w:cs="Arial" w:eastAsia="Arial" w:hAnsi="Arial"/>
          <w:b w:val="false"/>
          <w:bCs w:val="false"/>
          <w:i/>
          <w:iCs/>
          <w:sz w:val="21"/>
          <w:szCs w:val="21"/>
          <w:rtl/>
        </w:rPr>
        <w:t xml:space="preserve">Then</w:t>
      </w:r>
      <w:r>
        <w:rPr>
          <w:rFonts w:ascii="Arial" w:cs="Arial" w:eastAsia="Arial" w:hAnsi="Arial"/>
          <w:b w:val="false"/>
          <w:bCs w:val="false"/>
          <w:sz w:val="21"/>
          <w:szCs w:val="21"/>
          <w:rtl/>
        </w:rPr>
        <w:t xml:space="preserve"> الاستدعاء مرفوض ومسجَّل؛ القالب مرفوض؛ والمسح لا يجد عنصرًا محظورًا.</w:t>
      </w:r>
    </w:p>
    <w:p>
      <w:pPr>
        <w:bidi/>
        <w:spacing w:after="110" w:before="0" w:line="312"/>
      </w:pPr>
      <w:r>
        <w:rPr>
          <w:rFonts w:ascii="Arial" w:cs="Arial" w:eastAsia="Arial" w:hAnsi="Arial"/>
          <w:b/>
          <w:bCs/>
          <w:sz w:val="21"/>
          <w:szCs w:val="21"/>
          <w:rtl/>
        </w:rPr>
        <w:t xml:space="preserve">AC-NTF-2 — المستلمون والجرس والقراءة (FR-NTF-003، FR-NTF-005، FR-NTF-006، FR-NTF-010).</w:t>
      </w:r>
      <w:r>
        <w:rPr>
          <w:rFonts w:ascii="Arial" w:cs="Arial" w:eastAsia="Arial" w:hAnsi="Arial"/>
          <w:b w:val="false"/>
          <w:bCs w:val="false"/>
          <w:sz w:val="21"/>
          <w:szCs w:val="21"/>
          <w:rtl/>
        </w:rPr>
        <w:t xml:space="preserve"> </w:t>
      </w:r>
      <w:r>
        <w:rPr>
          <w:rFonts w:ascii="Arial" w:cs="Arial" w:eastAsia="Arial" w:hAnsi="Arial"/>
          <w:b w:val="false"/>
          <w:bCs w:val="false"/>
          <w:i/>
          <w:iCs/>
          <w:sz w:val="21"/>
          <w:szCs w:val="21"/>
          <w:rtl/>
        </w:rPr>
        <w:t xml:space="preserve">Given</w:t>
      </w:r>
      <w:r>
        <w:rPr>
          <w:rFonts w:ascii="Arial" w:cs="Arial" w:eastAsia="Arial" w:hAnsi="Arial"/>
          <w:b w:val="false"/>
          <w:bCs w:val="false"/>
          <w:sz w:val="21"/>
          <w:szCs w:val="21"/>
          <w:rtl/>
        </w:rPr>
        <w:t xml:space="preserve"> قاعدة مستلمين لحدث انتهاء المستند بدور TM، ومستخدمًا له 3 إشعارات غير مقروءة عن مستند واحد وإشعار قديم عن شركة أُزيلت من نطاقه. </w:t>
      </w:r>
      <w:r>
        <w:rPr>
          <w:rFonts w:ascii="Arial" w:cs="Arial" w:eastAsia="Arial" w:hAnsi="Arial"/>
          <w:b w:val="false"/>
          <w:bCs w:val="false"/>
          <w:i/>
          <w:iCs/>
          <w:sz w:val="21"/>
          <w:szCs w:val="21"/>
          <w:rtl/>
        </w:rPr>
        <w:t xml:space="preserve">When</w:t>
      </w:r>
      <w:r>
        <w:rPr>
          <w:rFonts w:ascii="Arial" w:cs="Arial" w:eastAsia="Arial" w:hAnsi="Arial"/>
          <w:b w:val="false"/>
          <w:bCs w:val="false"/>
          <w:sz w:val="21"/>
          <w:szCs w:val="21"/>
          <w:rtl/>
        </w:rPr>
        <w:t xml:space="preserve"> تُعدَّل القاعدة لإضافة FO، ويفتح المستخدم المستند، ويضغط الإشعار القديم، ويوقف مجموعة «التعليقات». </w:t>
      </w:r>
      <w:r>
        <w:rPr>
          <w:rFonts w:ascii="Arial" w:cs="Arial" w:eastAsia="Arial" w:hAnsi="Arial"/>
          <w:b w:val="false"/>
          <w:bCs w:val="false"/>
          <w:i/>
          <w:iCs/>
          <w:sz w:val="21"/>
          <w:szCs w:val="21"/>
          <w:rtl/>
        </w:rPr>
        <w:t xml:space="preserve">Then</w:t>
      </w:r>
      <w:r>
        <w:rPr>
          <w:rFonts w:ascii="Arial" w:cs="Arial" w:eastAsia="Arial" w:hAnsi="Arial"/>
          <w:b w:val="false"/>
          <w:bCs w:val="false"/>
          <w:sz w:val="21"/>
          <w:szCs w:val="21"/>
          <w:rtl/>
        </w:rPr>
        <w:t xml:space="preserve"> التعديل يسري على الأحداث التالية فقط؛ العدّاد ينقص 3؛ الإشعار القديم يعطي 404؛ والإيقاف لا يمس الأحداث الإلزامية.</w:t>
      </w:r>
    </w:p>
    <w:p>
      <w:pPr>
        <w:bidi/>
        <w:spacing w:after="110" w:before="0" w:line="312"/>
      </w:pPr>
      <w:r>
        <w:rPr>
          <w:rFonts w:ascii="Arial" w:cs="Arial" w:eastAsia="Arial" w:hAnsi="Arial"/>
          <w:b/>
          <w:bCs/>
          <w:sz w:val="21"/>
          <w:szCs w:val="21"/>
          <w:rtl/>
        </w:rPr>
        <w:t xml:space="preserve">AC-NTF-3 — الأحداث الأمنية والتسليم والمحوّلات (FR-NTF-018، FR-NTF-019، FR-NTF-022).</w:t>
      </w:r>
      <w:r>
        <w:rPr>
          <w:rFonts w:ascii="Arial" w:cs="Arial" w:eastAsia="Arial" w:hAnsi="Arial"/>
          <w:b w:val="false"/>
          <w:bCs w:val="false"/>
          <w:sz w:val="21"/>
          <w:szCs w:val="21"/>
          <w:rtl/>
        </w:rPr>
        <w:t xml:space="preserve"> </w:t>
      </w:r>
      <w:r>
        <w:rPr>
          <w:rFonts w:ascii="Arial" w:cs="Arial" w:eastAsia="Arial" w:hAnsi="Arial"/>
          <w:b w:val="false"/>
          <w:bCs w:val="false"/>
          <w:i/>
          <w:iCs/>
          <w:sz w:val="21"/>
          <w:szCs w:val="21"/>
          <w:rtl/>
        </w:rPr>
        <w:t xml:space="preserve">Given</w:t>
      </w:r>
      <w:r>
        <w:rPr>
          <w:rFonts w:ascii="Arial" w:cs="Arial" w:eastAsia="Arial" w:hAnsi="Arial"/>
          <w:b w:val="false"/>
          <w:bCs w:val="false"/>
          <w:sz w:val="21"/>
          <w:szCs w:val="21"/>
          <w:rtl/>
        </w:rPr>
        <w:t xml:space="preserve"> مستخدمًا قُفل مرتين خلال 24 ساعة، ومحوّل قناة تجريبيًا يفشل دائمًا. </w:t>
      </w:r>
      <w:r>
        <w:rPr>
          <w:rFonts w:ascii="Arial" w:cs="Arial" w:eastAsia="Arial" w:hAnsi="Arial"/>
          <w:b w:val="false"/>
          <w:bCs w:val="false"/>
          <w:i/>
          <w:iCs/>
          <w:sz w:val="21"/>
          <w:szCs w:val="21"/>
          <w:rtl/>
        </w:rPr>
        <w:t xml:space="preserve">When</w:t>
      </w:r>
      <w:r>
        <w:rPr>
          <w:rFonts w:ascii="Arial" w:cs="Arial" w:eastAsia="Arial" w:hAnsi="Arial"/>
          <w:b w:val="false"/>
          <w:bCs w:val="false"/>
          <w:sz w:val="21"/>
          <w:szCs w:val="21"/>
          <w:rtl/>
        </w:rPr>
        <w:t xml:space="preserve"> يُقفل للمرة الثالثة، ثم يُرسَل حدث عبر المحوّل التجريبي. </w:t>
      </w:r>
      <w:r>
        <w:rPr>
          <w:rFonts w:ascii="Arial" w:cs="Arial" w:eastAsia="Arial" w:hAnsi="Arial"/>
          <w:b w:val="false"/>
          <w:bCs w:val="false"/>
          <w:i/>
          <w:iCs/>
          <w:sz w:val="21"/>
          <w:szCs w:val="21"/>
          <w:rtl/>
        </w:rPr>
        <w:t xml:space="preserve">Then</w:t>
      </w:r>
      <w:r>
        <w:rPr>
          <w:rFonts w:ascii="Arial" w:cs="Arial" w:eastAsia="Arial" w:hAnsi="Arial"/>
          <w:b w:val="false"/>
          <w:bCs w:val="false"/>
          <w:sz w:val="21"/>
          <w:szCs w:val="21"/>
          <w:rtl/>
        </w:rPr>
        <w:t xml:space="preserve"> يصل مدير الحساب إشعار فوري إلزامي خلال دقيقة؛ إضافة المحوّل لم تتطلب تعديل خدمة الإصدار؛ وبعد 5 إخفاقات تصير الحالة DEAD ويُشعَر المدير مرة واحدة.</w:t>
      </w:r>
    </w:p>
    <w:p>
      <w:pPr>
        <w:bidi/>
        <w:spacing w:after="110" w:before="0" w:line="312"/>
      </w:pPr>
      <w:r>
        <w:rPr>
          <w:rFonts w:ascii="Arial" w:cs="Arial" w:eastAsia="Arial" w:hAnsi="Arial"/>
          <w:b/>
          <w:bCs/>
          <w:sz w:val="21"/>
          <w:szCs w:val="21"/>
          <w:rtl/>
        </w:rPr>
        <w:t xml:space="preserve">AC-NTF-4 — لغة الإشعار (FR-NTF-024، FR-PLT-034).</w:t>
      </w:r>
      <w:r>
        <w:rPr>
          <w:rFonts w:ascii="Arial" w:cs="Arial" w:eastAsia="Arial" w:hAnsi="Arial"/>
          <w:b w:val="false"/>
          <w:bCs w:val="false"/>
          <w:sz w:val="21"/>
          <w:szCs w:val="21"/>
          <w:rtl/>
        </w:rPr>
        <w:t xml:space="preserve"> </w:t>
      </w:r>
      <w:r>
        <w:rPr>
          <w:rFonts w:ascii="Arial" w:cs="Arial" w:eastAsia="Arial" w:hAnsi="Arial"/>
          <w:b w:val="false"/>
          <w:bCs w:val="false"/>
          <w:i/>
          <w:iCs/>
          <w:sz w:val="21"/>
          <w:szCs w:val="21"/>
          <w:rtl/>
        </w:rPr>
        <w:t xml:space="preserve">Given</w:t>
      </w:r>
      <w:r>
        <w:rPr>
          <w:rFonts w:ascii="Arial" w:cs="Arial" w:eastAsia="Arial" w:hAnsi="Arial"/>
          <w:b w:val="false"/>
          <w:bCs w:val="false"/>
          <w:sz w:val="21"/>
          <w:szCs w:val="21"/>
          <w:rtl/>
        </w:rPr>
        <w:t xml:space="preserve"> مشتركًا لغته الافتراضية en، ومستخدمًا PreferredLanguage=ar، وآخر بلا قيمة، وحدثًا له قالب en فقط. </w:t>
      </w:r>
      <w:r>
        <w:rPr>
          <w:rFonts w:ascii="Arial" w:cs="Arial" w:eastAsia="Arial" w:hAnsi="Arial"/>
          <w:b w:val="false"/>
          <w:bCs w:val="false"/>
          <w:i/>
          <w:iCs/>
          <w:sz w:val="21"/>
          <w:szCs w:val="21"/>
          <w:rtl/>
        </w:rPr>
        <w:t xml:space="preserve">When</w:t>
      </w:r>
      <w:r>
        <w:rPr>
          <w:rFonts w:ascii="Arial" w:cs="Arial" w:eastAsia="Arial" w:hAnsi="Arial"/>
          <w:b w:val="false"/>
          <w:bCs w:val="false"/>
          <w:sz w:val="21"/>
          <w:szCs w:val="21"/>
          <w:rtl/>
        </w:rPr>
        <w:t xml:space="preserve"> يُصدر الحدث للاثنين. </w:t>
      </w:r>
      <w:r>
        <w:rPr>
          <w:rFonts w:ascii="Arial" w:cs="Arial" w:eastAsia="Arial" w:hAnsi="Arial"/>
          <w:b w:val="false"/>
          <w:bCs w:val="false"/>
          <w:i/>
          <w:iCs/>
          <w:sz w:val="21"/>
          <w:szCs w:val="21"/>
          <w:rtl/>
        </w:rPr>
        <w:t xml:space="preserve">Then</w:t>
      </w:r>
      <w:r>
        <w:rPr>
          <w:rFonts w:ascii="Arial" w:cs="Arial" w:eastAsia="Arial" w:hAnsi="Arial"/>
          <w:b w:val="false"/>
          <w:bCs w:val="false"/>
          <w:sz w:val="21"/>
          <w:szCs w:val="21"/>
          <w:rtl/>
        </w:rPr>
        <w:t xml:space="preserve"> من بلا قيمة يتلقى en؛ ومستخدم ar يتلقى القالب الإنجليزي لغياب العربي، أي أن الرجوع إلى اللغة الأساس الإنجليزية </w:t>
      </w:r>
      <w:r>
        <w:rPr>
          <w:rFonts w:ascii="Arial" w:cs="Arial" w:eastAsia="Arial" w:hAnsi="Arial"/>
          <w:color w:val="E0A800"/>
          <w:sz w:val="21"/>
          <w:szCs w:val="21"/>
          <w:rtl/>
        </w:rPr>
        <w:t xml:space="preserve">●</w:t>
      </w:r>
      <w:r>
        <w:rPr>
          <w:rFonts w:ascii="Arial" w:cs="Arial" w:eastAsia="Arial" w:hAnsi="Arial"/>
          <w:b w:val="false"/>
          <w:bCs w:val="false"/>
          <w:sz w:val="21"/>
          <w:szCs w:val="21"/>
          <w:rtl/>
        </w:rPr>
        <w:t xml:space="preserve"> لا إلى العربية كما في نص FR-NTF-024 (DQ-B02-2).</w:t>
      </w:r>
    </w:p>
    <w:p>
      <w:pPr>
        <w:pStyle w:val="Heading1"/>
        <w:bidi/>
      </w:pPr>
      <w:bookmarkStart w:name="_sec13" w:id="13"/>
      <w:r>
        <w:rPr>
          <w:rFonts w:ascii="Arial" w:cs="Arial" w:eastAsia="Arial" w:hAnsi="Arial"/>
          <w:b/>
          <w:bCs/>
          <w:color w:val="1F3A5F"/>
          <w:sz w:val="32"/>
          <w:szCs w:val="32"/>
          <w:rtl/>
        </w:rPr>
        <w:t xml:space="preserve">4. معايير الخروج المرتبطة</w:t>
      </w:r>
      <w:bookmarkEnd w:id="13"/>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987"/>
        <w:gridCol w:w="7398"/>
        <w:gridCol w:w="1479"/>
      </w:tblGrid>
      <w:tr>
        <w:trPr>
          <w:cantSplit/>
          <w:tblHeader/>
        </w:trPr>
        <w:tc>
          <w:tcPr>
            <w:tcW w:type="dxa" w:w="987"/>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الشريحة</w:t>
            </w:r>
          </w:p>
        </w:tc>
        <w:tc>
          <w:tcPr>
            <w:tcW w:type="dxa" w:w="7398"/>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شرط الخروج (00 §7)</w:t>
            </w:r>
          </w:p>
        </w:tc>
        <w:tc>
          <w:tcPr>
            <w:tcW w:type="dxa" w:w="1479"/>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السيناريوهات الحاسمة</w:t>
            </w:r>
          </w:p>
        </w:tc>
      </w:tr>
      <w:tr>
        <w:trPr>
          <w:cantSplit/>
        </w:trPr>
        <w:tc>
          <w:tcPr>
            <w:tcW w:type="dxa" w:w="98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S0</w:t>
            </w:r>
          </w:p>
        </w:tc>
        <w:tc>
          <w:tcPr>
            <w:tcW w:type="dxa" w:w="739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اختبار عزل ناجح بين مشتركين (docs/10-detailed-analysis/00-overview-and-cross-cutting.md:194)</w:t>
            </w:r>
          </w:p>
        </w:tc>
        <w:tc>
          <w:tcPr>
            <w:tcW w:type="dxa" w:w="147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AC-PLT-1، AC-PLT-21، AC-PLT-6، وحالات القاعدة الإحدى والأربعون</w:t>
            </w:r>
          </w:p>
        </w:tc>
      </w:tr>
      <w:tr>
        <w:trPr>
          <w:cantSplit/>
        </w:trPr>
        <w:tc>
          <w:tcPr>
            <w:tcW w:type="dxa" w:w="98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S0</w:t>
            </w:r>
          </w:p>
        </w:tc>
        <w:tc>
          <w:tcPr>
            <w:tcW w:type="dxa" w:w="739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تأهيل مشترك جديد آليًا (السطر نفسه)</w:t>
            </w:r>
          </w:p>
        </w:tc>
        <w:tc>
          <w:tcPr>
            <w:tcW w:type="dxa" w:w="147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AC-PLT-5</w:t>
            </w:r>
          </w:p>
        </w:tc>
      </w:tr>
      <w:tr>
        <w:trPr>
          <w:cantSplit/>
        </w:trPr>
        <w:tc>
          <w:tcPr>
            <w:tcW w:type="dxa" w:w="98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S1</w:t>
            </w:r>
          </w:p>
        </w:tc>
        <w:tc>
          <w:tcPr>
            <w:tcW w:type="dxa" w:w="739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إدخال بنك بمعالج واحد (docs/10-detailed-analysis/00-overview-and-cross-cutting.md:195)</w:t>
            </w:r>
          </w:p>
        </w:tc>
        <w:tc>
          <w:tcPr>
            <w:tcW w:type="dxa" w:w="147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AC-INS-1</w:t>
            </w:r>
          </w:p>
        </w:tc>
      </w:tr>
      <w:tr>
        <w:trPr>
          <w:cantSplit/>
        </w:trPr>
        <w:tc>
          <w:tcPr>
            <w:tcW w:type="dxa" w:w="98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S1</w:t>
            </w:r>
          </w:p>
        </w:tc>
        <w:tc>
          <w:tcPr>
            <w:tcW w:type="dxa" w:w="739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إدخال شركة بمستنداتها (السطر نفسه)</w:t>
            </w:r>
          </w:p>
        </w:tc>
        <w:tc>
          <w:tcPr>
            <w:tcW w:type="dxa" w:w="147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AC-ORG-6، مع AC-ORG-4 وAC-PLT-15</w:t>
            </w:r>
          </w:p>
        </w:tc>
      </w:tr>
      <w:tr>
        <w:trPr>
          <w:cantSplit/>
        </w:trPr>
        <w:tc>
          <w:tcPr>
            <w:tcW w:type="dxa" w:w="98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S1</w:t>
            </w:r>
          </w:p>
        </w:tc>
        <w:tc>
          <w:tcPr>
            <w:tcW w:type="dxa" w:w="739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كتالوجات مزروعة</w:t>
            </w:r>
          </w:p>
        </w:tc>
        <w:tc>
          <w:tcPr>
            <w:tcW w:type="dxa" w:w="147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AC-CAT-1</w:t>
            </w:r>
          </w:p>
        </w:tc>
      </w:tr>
    </w:tbl>
    <w:p>
      <w:pPr>
        <w:bidi/>
        <w:spacing w:after="120" w:before="0"/>
      </w:pPr>
    </w:p>
    <w:p>
      <w:pPr>
        <w:bidi/>
        <w:spacing w:after="110" w:before="0" w:line="312"/>
      </w:pPr>
      <w:r>
        <w:rPr>
          <w:rFonts w:ascii="Arial" w:cs="Arial" w:eastAsia="Arial" w:hAnsi="Arial"/>
          <w:b w:val="false"/>
          <w:bCs w:val="false"/>
          <w:sz w:val="21"/>
          <w:szCs w:val="21"/>
          <w:rtl/>
        </w:rPr>
        <w:t xml:space="preserve">قاعدة الخروج </w:t>
      </w:r>
      <w:r>
        <w:rPr>
          <w:rFonts w:ascii="Arial" w:cs="Arial" w:eastAsia="Arial" w:hAnsi="Arial"/>
          <w:color w:val="E0A800"/>
          <w:sz w:val="21"/>
          <w:szCs w:val="21"/>
          <w:rtl/>
        </w:rPr>
        <w:t xml:space="preserve">●</w:t>
      </w:r>
      <w:r>
        <w:rPr>
          <w:rFonts w:ascii="Arial" w:cs="Arial" w:eastAsia="Arial" w:hAnsi="Arial"/>
          <w:b w:val="false"/>
          <w:bCs w:val="false"/>
          <w:sz w:val="21"/>
          <w:szCs w:val="21"/>
          <w:rtl/>
        </w:rPr>
        <w:t xml:space="preserve">: كل سيناريو يغطي متطلب Must ناجح؛ وسيناريو Should ناجح أو مؤجل بقرار مكتوب؛ وسيناريو Could لا يوقف الخروج (DQ-B02-5).</w:t>
      </w:r>
    </w:p>
    <w:p>
      <w:pPr>
        <w:pStyle w:val="Heading1"/>
        <w:bidi/>
      </w:pPr>
      <w:bookmarkStart w:name="_sec14" w:id="14"/>
      <w:r>
        <w:rPr>
          <w:rFonts w:ascii="Arial" w:cs="Arial" w:eastAsia="Arial" w:hAnsi="Arial"/>
          <w:b/>
          <w:bCs/>
          <w:color w:val="1F3A5F"/>
          <w:sz w:val="32"/>
          <w:szCs w:val="32"/>
          <w:rtl/>
        </w:rPr>
        <w:t xml:space="preserve">5. جدول التغطية: المتطلب إلى السيناريو</w:t>
      </w:r>
      <w:bookmarkEnd w:id="14"/>
    </w:p>
    <w:p>
      <w:pPr>
        <w:pStyle w:val="Heading2"/>
        <w:bidi/>
      </w:pPr>
      <w:bookmarkStart w:name="_sec15" w:id="15"/>
      <w:r>
        <w:rPr>
          <w:rFonts w:ascii="Arial" w:cs="Arial" w:eastAsia="Arial" w:hAnsi="Arial"/>
          <w:b/>
          <w:bCs/>
          <w:color w:val="2B5C8A"/>
          <w:sz w:val="26"/>
          <w:szCs w:val="26"/>
          <w:rtl/>
        </w:rPr>
        <w:t xml:space="preserve">5.1 المنصة (PLT)</w:t>
      </w:r>
      <w:bookmarkEnd w:id="15"/>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1704"/>
        <w:gridCol w:w="1700"/>
        <w:gridCol w:w="1700"/>
        <w:gridCol w:w="1530"/>
        <w:gridCol w:w="1700"/>
        <w:gridCol w:w="1530"/>
      </w:tblGrid>
      <w:tr>
        <w:trPr>
          <w:cantSplit/>
          <w:tblHeader/>
        </w:trPr>
        <w:tc>
          <w:tcPr>
            <w:tcW w:type="dxa" w:w="1704"/>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المتطلب</w:t>
            </w:r>
          </w:p>
        </w:tc>
        <w:tc>
          <w:tcPr>
            <w:tcW w:type="dxa" w:w="1700"/>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السيناريو</w:t>
            </w:r>
          </w:p>
        </w:tc>
        <w:tc>
          <w:tcPr>
            <w:tcW w:type="dxa" w:w="1700"/>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المتطلب</w:t>
            </w:r>
          </w:p>
        </w:tc>
        <w:tc>
          <w:tcPr>
            <w:tcW w:type="dxa" w:w="1530"/>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السيناريو</w:t>
            </w:r>
          </w:p>
        </w:tc>
        <w:tc>
          <w:tcPr>
            <w:tcW w:type="dxa" w:w="1700"/>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المتطلب</w:t>
            </w:r>
          </w:p>
        </w:tc>
        <w:tc>
          <w:tcPr>
            <w:tcW w:type="dxa" w:w="1530"/>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السيناريو</w:t>
            </w:r>
          </w:p>
        </w:tc>
      </w:tr>
      <w:tr>
        <w:trPr>
          <w:cantSplit/>
        </w:trPr>
        <w:tc>
          <w:tcPr>
            <w:tcW w:type="dxa" w:w="170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FR-PLT-001</w:t>
            </w:r>
          </w:p>
        </w:tc>
        <w:tc>
          <w:tcPr>
            <w:tcW w:type="dxa" w:w="170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AC-PLT-5</w:t>
            </w:r>
          </w:p>
        </w:tc>
        <w:tc>
          <w:tcPr>
            <w:tcW w:type="dxa" w:w="170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FR-PLT-002</w:t>
            </w:r>
          </w:p>
        </w:tc>
        <w:tc>
          <w:tcPr>
            <w:tcW w:type="dxa" w:w="153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AC-PLT-6</w:t>
            </w:r>
          </w:p>
        </w:tc>
        <w:tc>
          <w:tcPr>
            <w:tcW w:type="dxa" w:w="170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FR-PLT-003</w:t>
            </w:r>
          </w:p>
        </w:tc>
        <w:tc>
          <w:tcPr>
            <w:tcW w:type="dxa" w:w="153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AC-PLT-5</w:t>
            </w:r>
          </w:p>
        </w:tc>
      </w:tr>
      <w:tr>
        <w:trPr>
          <w:cantSplit/>
        </w:trPr>
        <w:tc>
          <w:tcPr>
            <w:tcW w:type="dxa" w:w="170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FR-PLT-004</w:t>
            </w:r>
          </w:p>
        </w:tc>
        <w:tc>
          <w:tcPr>
            <w:tcW w:type="dxa" w:w="170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AC-PLT-7</w:t>
            </w:r>
          </w:p>
        </w:tc>
        <w:tc>
          <w:tcPr>
            <w:tcW w:type="dxa" w:w="170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FR-PLT-005</w:t>
            </w:r>
          </w:p>
        </w:tc>
        <w:tc>
          <w:tcPr>
            <w:tcW w:type="dxa" w:w="153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AC-PLT-7</w:t>
            </w:r>
          </w:p>
        </w:tc>
        <w:tc>
          <w:tcPr>
            <w:tcW w:type="dxa" w:w="170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FR-PLT-006</w:t>
            </w:r>
          </w:p>
        </w:tc>
        <w:tc>
          <w:tcPr>
            <w:tcW w:type="dxa" w:w="153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AC-PLT-7</w:t>
            </w:r>
          </w:p>
        </w:tc>
      </w:tr>
      <w:tr>
        <w:trPr>
          <w:cantSplit/>
        </w:trPr>
        <w:tc>
          <w:tcPr>
            <w:tcW w:type="dxa" w:w="170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FR-PLT-007</w:t>
            </w:r>
          </w:p>
        </w:tc>
        <w:tc>
          <w:tcPr>
            <w:tcW w:type="dxa" w:w="170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AC-PLT-8</w:t>
            </w:r>
          </w:p>
        </w:tc>
        <w:tc>
          <w:tcPr>
            <w:tcW w:type="dxa" w:w="170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FR-PLT-008</w:t>
            </w:r>
          </w:p>
        </w:tc>
        <w:tc>
          <w:tcPr>
            <w:tcW w:type="dxa" w:w="153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AC-PLT-5</w:t>
            </w:r>
          </w:p>
        </w:tc>
        <w:tc>
          <w:tcPr>
            <w:tcW w:type="dxa" w:w="170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FR-PLT-009</w:t>
            </w:r>
          </w:p>
        </w:tc>
        <w:tc>
          <w:tcPr>
            <w:tcW w:type="dxa" w:w="153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AC-PLT-9</w:t>
            </w:r>
          </w:p>
        </w:tc>
      </w:tr>
      <w:tr>
        <w:trPr>
          <w:cantSplit/>
        </w:trPr>
        <w:tc>
          <w:tcPr>
            <w:tcW w:type="dxa" w:w="170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FR-PLT-010</w:t>
            </w:r>
          </w:p>
        </w:tc>
        <w:tc>
          <w:tcPr>
            <w:tcW w:type="dxa" w:w="170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AC-PLT-10</w:t>
            </w:r>
          </w:p>
        </w:tc>
        <w:tc>
          <w:tcPr>
            <w:tcW w:type="dxa" w:w="170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FR-PLT-011</w:t>
            </w:r>
          </w:p>
        </w:tc>
        <w:tc>
          <w:tcPr>
            <w:tcW w:type="dxa" w:w="153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AC-PLT-2</w:t>
            </w:r>
          </w:p>
        </w:tc>
        <w:tc>
          <w:tcPr>
            <w:tcW w:type="dxa" w:w="170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FR-PLT-012</w:t>
            </w:r>
          </w:p>
        </w:tc>
        <w:tc>
          <w:tcPr>
            <w:tcW w:type="dxa" w:w="153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AC-PLT-2</w:t>
            </w:r>
          </w:p>
        </w:tc>
      </w:tr>
      <w:tr>
        <w:trPr>
          <w:cantSplit/>
        </w:trPr>
        <w:tc>
          <w:tcPr>
            <w:tcW w:type="dxa" w:w="170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FR-PLT-013</w:t>
            </w:r>
          </w:p>
        </w:tc>
        <w:tc>
          <w:tcPr>
            <w:tcW w:type="dxa" w:w="170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AC-PLT-11، AC-PLT-5</w:t>
            </w:r>
          </w:p>
        </w:tc>
        <w:tc>
          <w:tcPr>
            <w:tcW w:type="dxa" w:w="170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FR-PLT-014</w:t>
            </w:r>
          </w:p>
        </w:tc>
        <w:tc>
          <w:tcPr>
            <w:tcW w:type="dxa" w:w="153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AC-PLT-12</w:t>
            </w:r>
          </w:p>
        </w:tc>
        <w:tc>
          <w:tcPr>
            <w:tcW w:type="dxa" w:w="170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FR-PLT-016</w:t>
            </w:r>
          </w:p>
        </w:tc>
        <w:tc>
          <w:tcPr>
            <w:tcW w:type="dxa" w:w="153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AC-PLT-13</w:t>
            </w:r>
          </w:p>
        </w:tc>
      </w:tr>
      <w:tr>
        <w:trPr>
          <w:cantSplit/>
        </w:trPr>
        <w:tc>
          <w:tcPr>
            <w:tcW w:type="dxa" w:w="170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FR-PLT-017</w:t>
            </w:r>
          </w:p>
        </w:tc>
        <w:tc>
          <w:tcPr>
            <w:tcW w:type="dxa" w:w="170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AC-PLT-13</w:t>
            </w:r>
          </w:p>
        </w:tc>
        <w:tc>
          <w:tcPr>
            <w:tcW w:type="dxa" w:w="170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FR-PLT-018</w:t>
            </w:r>
          </w:p>
        </w:tc>
        <w:tc>
          <w:tcPr>
            <w:tcW w:type="dxa" w:w="153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AC-PLT-13</w:t>
            </w:r>
          </w:p>
        </w:tc>
        <w:tc>
          <w:tcPr>
            <w:tcW w:type="dxa" w:w="170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FR-PLT-019</w:t>
            </w:r>
          </w:p>
        </w:tc>
        <w:tc>
          <w:tcPr>
            <w:tcW w:type="dxa" w:w="153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AC-PTY-1</w:t>
            </w:r>
          </w:p>
        </w:tc>
      </w:tr>
      <w:tr>
        <w:trPr>
          <w:cantSplit/>
        </w:trPr>
        <w:tc>
          <w:tcPr>
            <w:tcW w:type="dxa" w:w="170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FR-PLT-020</w:t>
            </w:r>
          </w:p>
        </w:tc>
        <w:tc>
          <w:tcPr>
            <w:tcW w:type="dxa" w:w="170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AC-PLT-1</w:t>
            </w:r>
          </w:p>
        </w:tc>
        <w:tc>
          <w:tcPr>
            <w:tcW w:type="dxa" w:w="170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FR-PLT-021</w:t>
            </w:r>
          </w:p>
        </w:tc>
        <w:tc>
          <w:tcPr>
            <w:tcW w:type="dxa" w:w="153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AC-PLT-13</w:t>
            </w:r>
          </w:p>
        </w:tc>
        <w:tc>
          <w:tcPr>
            <w:tcW w:type="dxa" w:w="170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FR-PLT-022</w:t>
            </w:r>
          </w:p>
        </w:tc>
        <w:tc>
          <w:tcPr>
            <w:tcW w:type="dxa" w:w="153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AC-PLT-14</w:t>
            </w:r>
          </w:p>
        </w:tc>
      </w:tr>
      <w:tr>
        <w:trPr>
          <w:cantSplit/>
        </w:trPr>
        <w:tc>
          <w:tcPr>
            <w:tcW w:type="dxa" w:w="170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FR-PLT-023</w:t>
            </w:r>
          </w:p>
        </w:tc>
        <w:tc>
          <w:tcPr>
            <w:tcW w:type="dxa" w:w="170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AC-PLT-14</w:t>
            </w:r>
          </w:p>
        </w:tc>
        <w:tc>
          <w:tcPr>
            <w:tcW w:type="dxa" w:w="170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FR-PLT-024</w:t>
            </w:r>
          </w:p>
        </w:tc>
        <w:tc>
          <w:tcPr>
            <w:tcW w:type="dxa" w:w="153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AC-PLT-14</w:t>
            </w:r>
          </w:p>
        </w:tc>
        <w:tc>
          <w:tcPr>
            <w:tcW w:type="dxa" w:w="170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FR-PLT-026</w:t>
            </w:r>
          </w:p>
        </w:tc>
        <w:tc>
          <w:tcPr>
            <w:tcW w:type="dxa" w:w="153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AC-PLT-3، AC-ORG-3</w:t>
            </w:r>
          </w:p>
        </w:tc>
      </w:tr>
      <w:tr>
        <w:trPr>
          <w:cantSplit/>
        </w:trPr>
        <w:tc>
          <w:tcPr>
            <w:tcW w:type="dxa" w:w="170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FR-PLT-027</w:t>
            </w:r>
          </w:p>
        </w:tc>
        <w:tc>
          <w:tcPr>
            <w:tcW w:type="dxa" w:w="170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AC-PLT-15</w:t>
            </w:r>
          </w:p>
        </w:tc>
        <w:tc>
          <w:tcPr>
            <w:tcW w:type="dxa" w:w="170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FR-PLT-028</w:t>
            </w:r>
          </w:p>
        </w:tc>
        <w:tc>
          <w:tcPr>
            <w:tcW w:type="dxa" w:w="153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AC-PLT-15</w:t>
            </w:r>
          </w:p>
        </w:tc>
        <w:tc>
          <w:tcPr>
            <w:tcW w:type="dxa" w:w="170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FR-PLT-029</w:t>
            </w:r>
          </w:p>
        </w:tc>
        <w:tc>
          <w:tcPr>
            <w:tcW w:type="dxa" w:w="153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AC-PLT-15</w:t>
            </w:r>
          </w:p>
        </w:tc>
      </w:tr>
      <w:tr>
        <w:trPr>
          <w:cantSplit/>
        </w:trPr>
        <w:tc>
          <w:tcPr>
            <w:tcW w:type="dxa" w:w="170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FR-PLT-030</w:t>
            </w:r>
          </w:p>
        </w:tc>
        <w:tc>
          <w:tcPr>
            <w:tcW w:type="dxa" w:w="170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AC-PLT-15</w:t>
            </w:r>
          </w:p>
        </w:tc>
        <w:tc>
          <w:tcPr>
            <w:tcW w:type="dxa" w:w="170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FR-PLT-032</w:t>
            </w:r>
          </w:p>
        </w:tc>
        <w:tc>
          <w:tcPr>
            <w:tcW w:type="dxa" w:w="153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AC-PLT-16</w:t>
            </w:r>
          </w:p>
        </w:tc>
        <w:tc>
          <w:tcPr>
            <w:tcW w:type="dxa" w:w="170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FR-PLT-033</w:t>
            </w:r>
          </w:p>
        </w:tc>
        <w:tc>
          <w:tcPr>
            <w:tcW w:type="dxa" w:w="153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AC-PLT-16</w:t>
            </w:r>
          </w:p>
        </w:tc>
      </w:tr>
      <w:tr>
        <w:trPr>
          <w:cantSplit/>
        </w:trPr>
        <w:tc>
          <w:tcPr>
            <w:tcW w:type="dxa" w:w="170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FR-PLT-034</w:t>
            </w:r>
          </w:p>
        </w:tc>
        <w:tc>
          <w:tcPr>
            <w:tcW w:type="dxa" w:w="170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AC-PLT-16، AC-NTF-4</w:t>
            </w:r>
          </w:p>
        </w:tc>
        <w:tc>
          <w:tcPr>
            <w:tcW w:type="dxa" w:w="170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FR-PLT-036</w:t>
            </w:r>
          </w:p>
        </w:tc>
        <w:tc>
          <w:tcPr>
            <w:tcW w:type="dxa" w:w="153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AC-PLT-1</w:t>
            </w:r>
          </w:p>
        </w:tc>
        <w:tc>
          <w:tcPr>
            <w:tcW w:type="dxa" w:w="170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FR-PLT-037</w:t>
            </w:r>
          </w:p>
        </w:tc>
        <w:tc>
          <w:tcPr>
            <w:tcW w:type="dxa" w:w="153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AC-PLT-17</w:t>
            </w:r>
          </w:p>
        </w:tc>
      </w:tr>
      <w:tr>
        <w:trPr>
          <w:cantSplit/>
        </w:trPr>
        <w:tc>
          <w:tcPr>
            <w:tcW w:type="dxa" w:w="170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FR-PLT-038</w:t>
            </w:r>
          </w:p>
        </w:tc>
        <w:tc>
          <w:tcPr>
            <w:tcW w:type="dxa" w:w="170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AC-ORG-6</w:t>
            </w:r>
          </w:p>
        </w:tc>
        <w:tc>
          <w:tcPr>
            <w:tcW w:type="dxa" w:w="170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FR-PLT-041</w:t>
            </w:r>
          </w:p>
        </w:tc>
        <w:tc>
          <w:tcPr>
            <w:tcW w:type="dxa" w:w="153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AC-PLT-18</w:t>
            </w:r>
          </w:p>
        </w:tc>
        <w:tc>
          <w:tcPr>
            <w:tcW w:type="dxa" w:w="170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FR-PLT-042</w:t>
            </w:r>
          </w:p>
        </w:tc>
        <w:tc>
          <w:tcPr>
            <w:tcW w:type="dxa" w:w="153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AC-PLT-22</w:t>
            </w:r>
          </w:p>
        </w:tc>
      </w:tr>
      <w:tr>
        <w:trPr>
          <w:cantSplit/>
        </w:trPr>
        <w:tc>
          <w:tcPr>
            <w:tcW w:type="dxa" w:w="170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FR-PLT-043</w:t>
            </w:r>
          </w:p>
        </w:tc>
        <w:tc>
          <w:tcPr>
            <w:tcW w:type="dxa" w:w="170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AC-PLT-19</w:t>
            </w:r>
          </w:p>
        </w:tc>
        <w:tc>
          <w:tcPr>
            <w:tcW w:type="dxa" w:w="170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FR-PLT-044</w:t>
            </w:r>
          </w:p>
        </w:tc>
        <w:tc>
          <w:tcPr>
            <w:tcW w:type="dxa" w:w="153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AC-PLT-20</w:t>
            </w:r>
          </w:p>
        </w:tc>
        <w:tc>
          <w:tcPr>
            <w:tcW w:type="dxa" w:w="170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FR-PLT-045</w:t>
            </w:r>
          </w:p>
        </w:tc>
        <w:tc>
          <w:tcPr>
            <w:tcW w:type="dxa" w:w="153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AC-PLT-4</w:t>
            </w:r>
          </w:p>
        </w:tc>
      </w:tr>
      <w:tr>
        <w:trPr>
          <w:cantSplit/>
        </w:trPr>
        <w:tc>
          <w:tcPr>
            <w:tcW w:type="dxa" w:w="170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FR-PLT-046</w:t>
            </w:r>
          </w:p>
        </w:tc>
        <w:tc>
          <w:tcPr>
            <w:tcW w:type="dxa" w:w="170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AC-PLT-21</w:t>
            </w:r>
          </w:p>
        </w:tc>
        <w:tc>
          <w:tcPr>
            <w:tcW w:type="dxa" w:w="170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153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170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153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bl>
    <w:p>
      <w:pPr>
        <w:bidi/>
        <w:spacing w:after="120" w:before="0"/>
      </w:pPr>
    </w:p>
    <w:p>
      <w:pPr>
        <w:pStyle w:val="Heading2"/>
        <w:bidi/>
      </w:pPr>
      <w:bookmarkStart w:name="_sec16" w:id="16"/>
      <w:r>
        <w:rPr>
          <w:rFonts w:ascii="Arial" w:cs="Arial" w:eastAsia="Arial" w:hAnsi="Arial"/>
          <w:b/>
          <w:bCs/>
          <w:color w:val="2B5C8A"/>
          <w:sz w:val="26"/>
          <w:szCs w:val="26"/>
          <w:rtl/>
        </w:rPr>
        <w:t xml:space="preserve">5.2 الهيكل المؤسسي (ORG)</w:t>
      </w:r>
      <w:bookmarkEnd w:id="16"/>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1733"/>
        <w:gridCol w:w="1557"/>
        <w:gridCol w:w="1730"/>
        <w:gridCol w:w="1557"/>
        <w:gridCol w:w="1730"/>
        <w:gridCol w:w="1557"/>
      </w:tblGrid>
      <w:tr>
        <w:trPr>
          <w:cantSplit/>
          <w:tblHeader/>
        </w:trPr>
        <w:tc>
          <w:tcPr>
            <w:tcW w:type="dxa" w:w="1733"/>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المتطلب</w:t>
            </w:r>
          </w:p>
        </w:tc>
        <w:tc>
          <w:tcPr>
            <w:tcW w:type="dxa" w:w="1557"/>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السيناريو</w:t>
            </w:r>
          </w:p>
        </w:tc>
        <w:tc>
          <w:tcPr>
            <w:tcW w:type="dxa" w:w="1730"/>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المتطلب</w:t>
            </w:r>
          </w:p>
        </w:tc>
        <w:tc>
          <w:tcPr>
            <w:tcW w:type="dxa" w:w="1557"/>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السيناريو</w:t>
            </w:r>
          </w:p>
        </w:tc>
        <w:tc>
          <w:tcPr>
            <w:tcW w:type="dxa" w:w="1730"/>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المتطلب</w:t>
            </w:r>
          </w:p>
        </w:tc>
        <w:tc>
          <w:tcPr>
            <w:tcW w:type="dxa" w:w="1557"/>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السيناريو</w:t>
            </w:r>
          </w:p>
        </w:tc>
      </w:tr>
      <w:tr>
        <w:trPr>
          <w:cantSplit/>
        </w:trPr>
        <w:tc>
          <w:tcPr>
            <w:tcW w:type="dxa" w:w="173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FR-ORG-001</w:t>
            </w:r>
          </w:p>
        </w:tc>
        <w:tc>
          <w:tcPr>
            <w:tcW w:type="dxa" w:w="15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AC-ORG-4</w:t>
            </w:r>
          </w:p>
        </w:tc>
        <w:tc>
          <w:tcPr>
            <w:tcW w:type="dxa" w:w="173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FR-ORG-002</w:t>
            </w:r>
          </w:p>
        </w:tc>
        <w:tc>
          <w:tcPr>
            <w:tcW w:type="dxa" w:w="15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AC-ORG-4</w:t>
            </w:r>
          </w:p>
        </w:tc>
        <w:tc>
          <w:tcPr>
            <w:tcW w:type="dxa" w:w="173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FR-ORG-003</w:t>
            </w:r>
          </w:p>
        </w:tc>
        <w:tc>
          <w:tcPr>
            <w:tcW w:type="dxa" w:w="15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AC-ORG-4</w:t>
            </w:r>
          </w:p>
        </w:tc>
      </w:tr>
      <w:tr>
        <w:trPr>
          <w:cantSplit/>
        </w:trPr>
        <w:tc>
          <w:tcPr>
            <w:tcW w:type="dxa" w:w="173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FR-ORG-004</w:t>
            </w:r>
          </w:p>
        </w:tc>
        <w:tc>
          <w:tcPr>
            <w:tcW w:type="dxa" w:w="15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AC-ORG-4</w:t>
            </w:r>
          </w:p>
        </w:tc>
        <w:tc>
          <w:tcPr>
            <w:tcW w:type="dxa" w:w="173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FR-ORG-005</w:t>
            </w:r>
          </w:p>
        </w:tc>
        <w:tc>
          <w:tcPr>
            <w:tcW w:type="dxa" w:w="15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AC-ORG-3</w:t>
            </w:r>
          </w:p>
        </w:tc>
        <w:tc>
          <w:tcPr>
            <w:tcW w:type="dxa" w:w="173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FR-ORG-006</w:t>
            </w:r>
          </w:p>
        </w:tc>
        <w:tc>
          <w:tcPr>
            <w:tcW w:type="dxa" w:w="15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AC-ORG-5</w:t>
            </w:r>
          </w:p>
        </w:tc>
      </w:tr>
      <w:tr>
        <w:trPr>
          <w:cantSplit/>
        </w:trPr>
        <w:tc>
          <w:tcPr>
            <w:tcW w:type="dxa" w:w="173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FR-ORG-007</w:t>
            </w:r>
          </w:p>
        </w:tc>
        <w:tc>
          <w:tcPr>
            <w:tcW w:type="dxa" w:w="15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AC-ORG-5</w:t>
            </w:r>
          </w:p>
        </w:tc>
        <w:tc>
          <w:tcPr>
            <w:tcW w:type="dxa" w:w="173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FR-ORG-008</w:t>
            </w:r>
          </w:p>
        </w:tc>
        <w:tc>
          <w:tcPr>
            <w:tcW w:type="dxa" w:w="15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AC-ORG-4</w:t>
            </w:r>
          </w:p>
        </w:tc>
        <w:tc>
          <w:tcPr>
            <w:tcW w:type="dxa" w:w="173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FR-ORG-009</w:t>
            </w:r>
          </w:p>
        </w:tc>
        <w:tc>
          <w:tcPr>
            <w:tcW w:type="dxa" w:w="15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AC-ORG-7</w:t>
            </w:r>
          </w:p>
        </w:tc>
      </w:tr>
      <w:tr>
        <w:trPr>
          <w:cantSplit/>
        </w:trPr>
        <w:tc>
          <w:tcPr>
            <w:tcW w:type="dxa" w:w="173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FR-ORG-010</w:t>
            </w:r>
          </w:p>
        </w:tc>
        <w:tc>
          <w:tcPr>
            <w:tcW w:type="dxa" w:w="15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AC-ORG-7</w:t>
            </w:r>
          </w:p>
        </w:tc>
        <w:tc>
          <w:tcPr>
            <w:tcW w:type="dxa" w:w="173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FR-ORG-011</w:t>
            </w:r>
          </w:p>
        </w:tc>
        <w:tc>
          <w:tcPr>
            <w:tcW w:type="dxa" w:w="15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AC-ORG-6</w:t>
            </w:r>
          </w:p>
        </w:tc>
        <w:tc>
          <w:tcPr>
            <w:tcW w:type="dxa" w:w="173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FR-ORG-012</w:t>
            </w:r>
          </w:p>
        </w:tc>
        <w:tc>
          <w:tcPr>
            <w:tcW w:type="dxa" w:w="15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AC-ORG-6</w:t>
            </w:r>
          </w:p>
        </w:tc>
      </w:tr>
      <w:tr>
        <w:trPr>
          <w:cantSplit/>
        </w:trPr>
        <w:tc>
          <w:tcPr>
            <w:tcW w:type="dxa" w:w="173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FR-ORG-013</w:t>
            </w:r>
          </w:p>
        </w:tc>
        <w:tc>
          <w:tcPr>
            <w:tcW w:type="dxa" w:w="15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AC-ORG-6</w:t>
            </w:r>
          </w:p>
        </w:tc>
        <w:tc>
          <w:tcPr>
            <w:tcW w:type="dxa" w:w="173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FR-ORG-014</w:t>
            </w:r>
          </w:p>
        </w:tc>
        <w:tc>
          <w:tcPr>
            <w:tcW w:type="dxa" w:w="15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AC-ORG-8</w:t>
            </w:r>
          </w:p>
        </w:tc>
        <w:tc>
          <w:tcPr>
            <w:tcW w:type="dxa" w:w="173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15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bl>
    <w:p>
      <w:pPr>
        <w:bidi/>
        <w:spacing w:after="120" w:before="0"/>
      </w:pPr>
    </w:p>
    <w:p>
      <w:pPr>
        <w:pStyle w:val="Heading2"/>
        <w:bidi/>
      </w:pPr>
      <w:bookmarkStart w:name="_sec17" w:id="17"/>
      <w:r>
        <w:rPr>
          <w:rFonts w:ascii="Arial" w:cs="Arial" w:eastAsia="Arial" w:hAnsi="Arial"/>
          <w:b/>
          <w:bCs/>
          <w:color w:val="2B5C8A"/>
          <w:sz w:val="26"/>
          <w:szCs w:val="26"/>
          <w:rtl/>
        </w:rPr>
        <w:t xml:space="preserve">5.3 الأشخاص والجهات (PTY)</w:t>
      </w:r>
      <w:bookmarkEnd w:id="17"/>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1733"/>
        <w:gridCol w:w="1557"/>
        <w:gridCol w:w="1730"/>
        <w:gridCol w:w="1557"/>
        <w:gridCol w:w="1730"/>
        <w:gridCol w:w="1557"/>
      </w:tblGrid>
      <w:tr>
        <w:trPr>
          <w:cantSplit/>
          <w:tblHeader/>
        </w:trPr>
        <w:tc>
          <w:tcPr>
            <w:tcW w:type="dxa" w:w="1733"/>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المتطلب</w:t>
            </w:r>
          </w:p>
        </w:tc>
        <w:tc>
          <w:tcPr>
            <w:tcW w:type="dxa" w:w="1557"/>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السيناريو</w:t>
            </w:r>
          </w:p>
        </w:tc>
        <w:tc>
          <w:tcPr>
            <w:tcW w:type="dxa" w:w="1730"/>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المتطلب</w:t>
            </w:r>
          </w:p>
        </w:tc>
        <w:tc>
          <w:tcPr>
            <w:tcW w:type="dxa" w:w="1557"/>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السيناريو</w:t>
            </w:r>
          </w:p>
        </w:tc>
        <w:tc>
          <w:tcPr>
            <w:tcW w:type="dxa" w:w="1730"/>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المتطلب</w:t>
            </w:r>
          </w:p>
        </w:tc>
        <w:tc>
          <w:tcPr>
            <w:tcW w:type="dxa" w:w="1557"/>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السيناريو</w:t>
            </w:r>
          </w:p>
        </w:tc>
      </w:tr>
      <w:tr>
        <w:trPr>
          <w:cantSplit/>
        </w:trPr>
        <w:tc>
          <w:tcPr>
            <w:tcW w:type="dxa" w:w="173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FR-PTY-001</w:t>
            </w:r>
          </w:p>
        </w:tc>
        <w:tc>
          <w:tcPr>
            <w:tcW w:type="dxa" w:w="15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AC-PTY-4</w:t>
            </w:r>
          </w:p>
        </w:tc>
        <w:tc>
          <w:tcPr>
            <w:tcW w:type="dxa" w:w="173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FR-PTY-002</w:t>
            </w:r>
          </w:p>
        </w:tc>
        <w:tc>
          <w:tcPr>
            <w:tcW w:type="dxa" w:w="15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AC-PTY-4</w:t>
            </w:r>
          </w:p>
        </w:tc>
        <w:tc>
          <w:tcPr>
            <w:tcW w:type="dxa" w:w="173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FR-PTY-003</w:t>
            </w:r>
          </w:p>
        </w:tc>
        <w:tc>
          <w:tcPr>
            <w:tcW w:type="dxa" w:w="15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AC-ORG-4</w:t>
            </w:r>
          </w:p>
        </w:tc>
      </w:tr>
      <w:tr>
        <w:trPr>
          <w:cantSplit/>
        </w:trPr>
        <w:tc>
          <w:tcPr>
            <w:tcW w:type="dxa" w:w="173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FR-PTY-004</w:t>
            </w:r>
          </w:p>
        </w:tc>
        <w:tc>
          <w:tcPr>
            <w:tcW w:type="dxa" w:w="15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AC-PTY-4</w:t>
            </w:r>
          </w:p>
        </w:tc>
        <w:tc>
          <w:tcPr>
            <w:tcW w:type="dxa" w:w="173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FR-PTY-005</w:t>
            </w:r>
          </w:p>
        </w:tc>
        <w:tc>
          <w:tcPr>
            <w:tcW w:type="dxa" w:w="15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AC-PTY-4</w:t>
            </w:r>
          </w:p>
        </w:tc>
        <w:tc>
          <w:tcPr>
            <w:tcW w:type="dxa" w:w="173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FR-PTY-006</w:t>
            </w:r>
          </w:p>
        </w:tc>
        <w:tc>
          <w:tcPr>
            <w:tcW w:type="dxa" w:w="15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AC-PTY-5</w:t>
            </w:r>
          </w:p>
        </w:tc>
      </w:tr>
      <w:tr>
        <w:trPr>
          <w:cantSplit/>
        </w:trPr>
        <w:tc>
          <w:tcPr>
            <w:tcW w:type="dxa" w:w="173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FR-PTY-007</w:t>
            </w:r>
          </w:p>
        </w:tc>
        <w:tc>
          <w:tcPr>
            <w:tcW w:type="dxa" w:w="15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AC-PTY-1</w:t>
            </w:r>
          </w:p>
        </w:tc>
        <w:tc>
          <w:tcPr>
            <w:tcW w:type="dxa" w:w="173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FR-PTY-008</w:t>
            </w:r>
          </w:p>
        </w:tc>
        <w:tc>
          <w:tcPr>
            <w:tcW w:type="dxa" w:w="15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AC-PTY-1</w:t>
            </w:r>
          </w:p>
        </w:tc>
        <w:tc>
          <w:tcPr>
            <w:tcW w:type="dxa" w:w="173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FR-PTY-009</w:t>
            </w:r>
          </w:p>
        </w:tc>
        <w:tc>
          <w:tcPr>
            <w:tcW w:type="dxa" w:w="15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AC-PTY-5</w:t>
            </w:r>
          </w:p>
        </w:tc>
      </w:tr>
      <w:tr>
        <w:trPr>
          <w:cantSplit/>
        </w:trPr>
        <w:tc>
          <w:tcPr>
            <w:tcW w:type="dxa" w:w="173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FR-PTY-010</w:t>
            </w:r>
          </w:p>
        </w:tc>
        <w:tc>
          <w:tcPr>
            <w:tcW w:type="dxa" w:w="15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AC-PTY-6</w:t>
            </w:r>
          </w:p>
        </w:tc>
        <w:tc>
          <w:tcPr>
            <w:tcW w:type="dxa" w:w="173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FR-PTY-011</w:t>
            </w:r>
          </w:p>
        </w:tc>
        <w:tc>
          <w:tcPr>
            <w:tcW w:type="dxa" w:w="15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AC-PTY-6</w:t>
            </w:r>
          </w:p>
        </w:tc>
        <w:tc>
          <w:tcPr>
            <w:tcW w:type="dxa" w:w="173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FR-PTY-012</w:t>
            </w:r>
          </w:p>
        </w:tc>
        <w:tc>
          <w:tcPr>
            <w:tcW w:type="dxa" w:w="15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AC-PTY-6</w:t>
            </w:r>
          </w:p>
        </w:tc>
      </w:tr>
      <w:tr>
        <w:trPr>
          <w:cantSplit/>
        </w:trPr>
        <w:tc>
          <w:tcPr>
            <w:tcW w:type="dxa" w:w="173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FR-PTY-013</w:t>
            </w:r>
          </w:p>
        </w:tc>
        <w:tc>
          <w:tcPr>
            <w:tcW w:type="dxa" w:w="15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AC-PTY-7</w:t>
            </w:r>
          </w:p>
        </w:tc>
        <w:tc>
          <w:tcPr>
            <w:tcW w:type="dxa" w:w="173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FR-PTY-014</w:t>
            </w:r>
          </w:p>
        </w:tc>
        <w:tc>
          <w:tcPr>
            <w:tcW w:type="dxa" w:w="15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AC-PTY-7</w:t>
            </w:r>
          </w:p>
        </w:tc>
        <w:tc>
          <w:tcPr>
            <w:tcW w:type="dxa" w:w="173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FR-PTY-015</w:t>
            </w:r>
          </w:p>
        </w:tc>
        <w:tc>
          <w:tcPr>
            <w:tcW w:type="dxa" w:w="15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AC-PTY-2</w:t>
            </w:r>
          </w:p>
        </w:tc>
      </w:tr>
      <w:tr>
        <w:trPr>
          <w:cantSplit/>
        </w:trPr>
        <w:tc>
          <w:tcPr>
            <w:tcW w:type="dxa" w:w="173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FR-PTY-016</w:t>
            </w:r>
          </w:p>
        </w:tc>
        <w:tc>
          <w:tcPr>
            <w:tcW w:type="dxa" w:w="15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AC-PTY-2، AC-INS-3</w:t>
            </w:r>
          </w:p>
        </w:tc>
        <w:tc>
          <w:tcPr>
            <w:tcW w:type="dxa" w:w="173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FR-PTY-017</w:t>
            </w:r>
          </w:p>
        </w:tc>
        <w:tc>
          <w:tcPr>
            <w:tcW w:type="dxa" w:w="15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AC-PTY-8</w:t>
            </w:r>
          </w:p>
        </w:tc>
        <w:tc>
          <w:tcPr>
            <w:tcW w:type="dxa" w:w="173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FR-PTY-018</w:t>
            </w:r>
          </w:p>
        </w:tc>
        <w:tc>
          <w:tcPr>
            <w:tcW w:type="dxa" w:w="15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AC-PTY-8</w:t>
            </w:r>
          </w:p>
        </w:tc>
      </w:tr>
      <w:tr>
        <w:trPr>
          <w:cantSplit/>
        </w:trPr>
        <w:tc>
          <w:tcPr>
            <w:tcW w:type="dxa" w:w="173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FR-PTY-019</w:t>
            </w:r>
          </w:p>
        </w:tc>
        <w:tc>
          <w:tcPr>
            <w:tcW w:type="dxa" w:w="15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AC-PTY-8</w:t>
            </w:r>
          </w:p>
        </w:tc>
        <w:tc>
          <w:tcPr>
            <w:tcW w:type="dxa" w:w="173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FR-PTY-020</w:t>
            </w:r>
          </w:p>
        </w:tc>
        <w:tc>
          <w:tcPr>
            <w:tcW w:type="dxa" w:w="15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AC-PTY-9</w:t>
            </w:r>
          </w:p>
        </w:tc>
        <w:tc>
          <w:tcPr>
            <w:tcW w:type="dxa" w:w="173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FR-PTY-021</w:t>
            </w:r>
          </w:p>
        </w:tc>
        <w:tc>
          <w:tcPr>
            <w:tcW w:type="dxa" w:w="15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AC-PTY-3</w:t>
            </w:r>
          </w:p>
        </w:tc>
      </w:tr>
      <w:tr>
        <w:trPr>
          <w:cantSplit/>
        </w:trPr>
        <w:tc>
          <w:tcPr>
            <w:tcW w:type="dxa" w:w="173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FR-PTY-022</w:t>
            </w:r>
          </w:p>
        </w:tc>
        <w:tc>
          <w:tcPr>
            <w:tcW w:type="dxa" w:w="15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AC-PTY-9</w:t>
            </w:r>
          </w:p>
        </w:tc>
        <w:tc>
          <w:tcPr>
            <w:tcW w:type="dxa" w:w="173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FR-PTY-028</w:t>
            </w:r>
          </w:p>
        </w:tc>
        <w:tc>
          <w:tcPr>
            <w:tcW w:type="dxa" w:w="15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AC-PTY-8</w:t>
            </w:r>
          </w:p>
        </w:tc>
        <w:tc>
          <w:tcPr>
            <w:tcW w:type="dxa" w:w="173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15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bl>
    <w:p>
      <w:pPr>
        <w:bidi/>
        <w:spacing w:after="120" w:before="0"/>
      </w:pPr>
    </w:p>
    <w:p>
      <w:pPr>
        <w:pStyle w:val="Heading2"/>
        <w:bidi/>
      </w:pPr>
      <w:bookmarkStart w:name="_sec18" w:id="18"/>
      <w:r>
        <w:rPr>
          <w:rFonts w:ascii="Arial" w:cs="Arial" w:eastAsia="Arial" w:hAnsi="Arial"/>
          <w:b/>
          <w:bCs/>
          <w:color w:val="2B5C8A"/>
          <w:sz w:val="26"/>
          <w:szCs w:val="26"/>
          <w:rtl/>
        </w:rPr>
        <w:t xml:space="preserve">5.4 المنشآت المالية (INS)</w:t>
      </w:r>
      <w:bookmarkEnd w:id="18"/>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1733"/>
        <w:gridCol w:w="1557"/>
        <w:gridCol w:w="1730"/>
        <w:gridCol w:w="1557"/>
        <w:gridCol w:w="1730"/>
        <w:gridCol w:w="1557"/>
      </w:tblGrid>
      <w:tr>
        <w:trPr>
          <w:cantSplit/>
          <w:tblHeader/>
        </w:trPr>
        <w:tc>
          <w:tcPr>
            <w:tcW w:type="dxa" w:w="1733"/>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المتطلب</w:t>
            </w:r>
          </w:p>
        </w:tc>
        <w:tc>
          <w:tcPr>
            <w:tcW w:type="dxa" w:w="1557"/>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السيناريو</w:t>
            </w:r>
          </w:p>
        </w:tc>
        <w:tc>
          <w:tcPr>
            <w:tcW w:type="dxa" w:w="1730"/>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المتطلب</w:t>
            </w:r>
          </w:p>
        </w:tc>
        <w:tc>
          <w:tcPr>
            <w:tcW w:type="dxa" w:w="1557"/>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السيناريو</w:t>
            </w:r>
          </w:p>
        </w:tc>
        <w:tc>
          <w:tcPr>
            <w:tcW w:type="dxa" w:w="1730"/>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المتطلب</w:t>
            </w:r>
          </w:p>
        </w:tc>
        <w:tc>
          <w:tcPr>
            <w:tcW w:type="dxa" w:w="1557"/>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السيناريو</w:t>
            </w:r>
          </w:p>
        </w:tc>
      </w:tr>
      <w:tr>
        <w:trPr>
          <w:cantSplit/>
        </w:trPr>
        <w:tc>
          <w:tcPr>
            <w:tcW w:type="dxa" w:w="173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FR-INS-001</w:t>
            </w:r>
          </w:p>
        </w:tc>
        <w:tc>
          <w:tcPr>
            <w:tcW w:type="dxa" w:w="15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AC-INS-4</w:t>
            </w:r>
          </w:p>
        </w:tc>
        <w:tc>
          <w:tcPr>
            <w:tcW w:type="dxa" w:w="173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FR-INS-002</w:t>
            </w:r>
          </w:p>
        </w:tc>
        <w:tc>
          <w:tcPr>
            <w:tcW w:type="dxa" w:w="15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AC-INS-4</w:t>
            </w:r>
          </w:p>
        </w:tc>
        <w:tc>
          <w:tcPr>
            <w:tcW w:type="dxa" w:w="173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FR-INS-003</w:t>
            </w:r>
          </w:p>
        </w:tc>
        <w:tc>
          <w:tcPr>
            <w:tcW w:type="dxa" w:w="15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AC-INS-4</w:t>
            </w:r>
          </w:p>
        </w:tc>
      </w:tr>
      <w:tr>
        <w:trPr>
          <w:cantSplit/>
        </w:trPr>
        <w:tc>
          <w:tcPr>
            <w:tcW w:type="dxa" w:w="173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FR-INS-004</w:t>
            </w:r>
          </w:p>
        </w:tc>
        <w:tc>
          <w:tcPr>
            <w:tcW w:type="dxa" w:w="15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AC-INS-4</w:t>
            </w:r>
          </w:p>
        </w:tc>
        <w:tc>
          <w:tcPr>
            <w:tcW w:type="dxa" w:w="173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FR-INS-005</w:t>
            </w:r>
          </w:p>
        </w:tc>
        <w:tc>
          <w:tcPr>
            <w:tcW w:type="dxa" w:w="15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AC-INS-5</w:t>
            </w:r>
          </w:p>
        </w:tc>
        <w:tc>
          <w:tcPr>
            <w:tcW w:type="dxa" w:w="173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FR-INS-006</w:t>
            </w:r>
          </w:p>
        </w:tc>
        <w:tc>
          <w:tcPr>
            <w:tcW w:type="dxa" w:w="15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AC-INS-5</w:t>
            </w:r>
          </w:p>
        </w:tc>
      </w:tr>
      <w:tr>
        <w:trPr>
          <w:cantSplit/>
        </w:trPr>
        <w:tc>
          <w:tcPr>
            <w:tcW w:type="dxa" w:w="173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FR-INS-007</w:t>
            </w:r>
          </w:p>
        </w:tc>
        <w:tc>
          <w:tcPr>
            <w:tcW w:type="dxa" w:w="15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AC-INS-3</w:t>
            </w:r>
          </w:p>
        </w:tc>
        <w:tc>
          <w:tcPr>
            <w:tcW w:type="dxa" w:w="173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FR-INS-008</w:t>
            </w:r>
          </w:p>
        </w:tc>
        <w:tc>
          <w:tcPr>
            <w:tcW w:type="dxa" w:w="15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AC-INS-2</w:t>
            </w:r>
          </w:p>
        </w:tc>
        <w:tc>
          <w:tcPr>
            <w:tcW w:type="dxa" w:w="173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FR-INS-009</w:t>
            </w:r>
          </w:p>
        </w:tc>
        <w:tc>
          <w:tcPr>
            <w:tcW w:type="dxa" w:w="15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AC-INS-6</w:t>
            </w:r>
          </w:p>
        </w:tc>
      </w:tr>
      <w:tr>
        <w:trPr>
          <w:cantSplit/>
        </w:trPr>
        <w:tc>
          <w:tcPr>
            <w:tcW w:type="dxa" w:w="173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FR-INS-010</w:t>
            </w:r>
          </w:p>
        </w:tc>
        <w:tc>
          <w:tcPr>
            <w:tcW w:type="dxa" w:w="15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AC-INS-6</w:t>
            </w:r>
          </w:p>
        </w:tc>
        <w:tc>
          <w:tcPr>
            <w:tcW w:type="dxa" w:w="173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FR-INS-011</w:t>
            </w:r>
          </w:p>
        </w:tc>
        <w:tc>
          <w:tcPr>
            <w:tcW w:type="dxa" w:w="15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AC-INS-6</w:t>
            </w:r>
          </w:p>
        </w:tc>
        <w:tc>
          <w:tcPr>
            <w:tcW w:type="dxa" w:w="173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FR-INS-012</w:t>
            </w:r>
          </w:p>
        </w:tc>
        <w:tc>
          <w:tcPr>
            <w:tcW w:type="dxa" w:w="15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AC-INS-6</w:t>
            </w:r>
          </w:p>
        </w:tc>
      </w:tr>
      <w:tr>
        <w:trPr>
          <w:cantSplit/>
        </w:trPr>
        <w:tc>
          <w:tcPr>
            <w:tcW w:type="dxa" w:w="173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FR-INS-013</w:t>
            </w:r>
          </w:p>
        </w:tc>
        <w:tc>
          <w:tcPr>
            <w:tcW w:type="dxa" w:w="15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AC-INS-6، AC-INS-1</w:t>
            </w:r>
          </w:p>
        </w:tc>
        <w:tc>
          <w:tcPr>
            <w:tcW w:type="dxa" w:w="173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FR-INS-014</w:t>
            </w:r>
          </w:p>
        </w:tc>
        <w:tc>
          <w:tcPr>
            <w:tcW w:type="dxa" w:w="15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AC-INS-1</w:t>
            </w:r>
          </w:p>
        </w:tc>
        <w:tc>
          <w:tcPr>
            <w:tcW w:type="dxa" w:w="173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FR-INS-015</w:t>
            </w:r>
          </w:p>
        </w:tc>
        <w:tc>
          <w:tcPr>
            <w:tcW w:type="dxa" w:w="15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AC-INS-7</w:t>
            </w:r>
          </w:p>
        </w:tc>
      </w:tr>
      <w:tr>
        <w:trPr>
          <w:cantSplit/>
        </w:trPr>
        <w:tc>
          <w:tcPr>
            <w:tcW w:type="dxa" w:w="173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FR-INS-016</w:t>
            </w:r>
          </w:p>
        </w:tc>
        <w:tc>
          <w:tcPr>
            <w:tcW w:type="dxa" w:w="15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AC-INS-7، AC-INS-2</w:t>
            </w:r>
          </w:p>
        </w:tc>
        <w:tc>
          <w:tcPr>
            <w:tcW w:type="dxa" w:w="173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FR-INS-017</w:t>
            </w:r>
          </w:p>
        </w:tc>
        <w:tc>
          <w:tcPr>
            <w:tcW w:type="dxa" w:w="15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AC-INS-8</w:t>
            </w:r>
          </w:p>
        </w:tc>
        <w:tc>
          <w:tcPr>
            <w:tcW w:type="dxa" w:w="173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FR-INS-018</w:t>
            </w:r>
          </w:p>
        </w:tc>
        <w:tc>
          <w:tcPr>
            <w:tcW w:type="dxa" w:w="15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AC-INS-8</w:t>
            </w:r>
          </w:p>
        </w:tc>
      </w:tr>
      <w:tr>
        <w:trPr>
          <w:cantSplit/>
        </w:trPr>
        <w:tc>
          <w:tcPr>
            <w:tcW w:type="dxa" w:w="173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FR-INS-019</w:t>
            </w:r>
          </w:p>
        </w:tc>
        <w:tc>
          <w:tcPr>
            <w:tcW w:type="dxa" w:w="15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AC-INS-8</w:t>
            </w:r>
          </w:p>
        </w:tc>
        <w:tc>
          <w:tcPr>
            <w:tcW w:type="dxa" w:w="173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FR-INS-020</w:t>
            </w:r>
          </w:p>
        </w:tc>
        <w:tc>
          <w:tcPr>
            <w:tcW w:type="dxa" w:w="15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AC-INS-8</w:t>
            </w:r>
          </w:p>
        </w:tc>
        <w:tc>
          <w:tcPr>
            <w:tcW w:type="dxa" w:w="173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FR-INS-021</w:t>
            </w:r>
          </w:p>
        </w:tc>
        <w:tc>
          <w:tcPr>
            <w:tcW w:type="dxa" w:w="15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AC-INS-3</w:t>
            </w:r>
          </w:p>
        </w:tc>
      </w:tr>
    </w:tbl>
    <w:p>
      <w:pPr>
        <w:bidi/>
        <w:spacing w:after="120" w:before="0"/>
      </w:pPr>
    </w:p>
    <w:p>
      <w:pPr>
        <w:pStyle w:val="Heading2"/>
        <w:bidi/>
      </w:pPr>
      <w:bookmarkStart w:name="_sec19" w:id="19"/>
      <w:r>
        <w:rPr>
          <w:rFonts w:ascii="Arial" w:cs="Arial" w:eastAsia="Arial" w:hAnsi="Arial"/>
          <w:b/>
          <w:bCs/>
          <w:color w:val="2B5C8A"/>
          <w:sz w:val="26"/>
          <w:szCs w:val="26"/>
          <w:rtl/>
        </w:rPr>
        <w:t xml:space="preserve">5.5 الحسابات (ACC)</w:t>
      </w:r>
      <w:bookmarkEnd w:id="19"/>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1733"/>
        <w:gridCol w:w="1557"/>
        <w:gridCol w:w="1730"/>
        <w:gridCol w:w="1557"/>
        <w:gridCol w:w="1730"/>
        <w:gridCol w:w="1557"/>
      </w:tblGrid>
      <w:tr>
        <w:trPr>
          <w:cantSplit/>
          <w:tblHeader/>
        </w:trPr>
        <w:tc>
          <w:tcPr>
            <w:tcW w:type="dxa" w:w="1733"/>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المتطلب</w:t>
            </w:r>
          </w:p>
        </w:tc>
        <w:tc>
          <w:tcPr>
            <w:tcW w:type="dxa" w:w="1557"/>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السيناريو</w:t>
            </w:r>
          </w:p>
        </w:tc>
        <w:tc>
          <w:tcPr>
            <w:tcW w:type="dxa" w:w="1730"/>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المتطلب</w:t>
            </w:r>
          </w:p>
        </w:tc>
        <w:tc>
          <w:tcPr>
            <w:tcW w:type="dxa" w:w="1557"/>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السيناريو</w:t>
            </w:r>
          </w:p>
        </w:tc>
        <w:tc>
          <w:tcPr>
            <w:tcW w:type="dxa" w:w="1730"/>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المتطلب</w:t>
            </w:r>
          </w:p>
        </w:tc>
        <w:tc>
          <w:tcPr>
            <w:tcW w:type="dxa" w:w="1557"/>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السيناريو</w:t>
            </w:r>
          </w:p>
        </w:tc>
      </w:tr>
      <w:tr>
        <w:trPr>
          <w:cantSplit/>
        </w:trPr>
        <w:tc>
          <w:tcPr>
            <w:tcW w:type="dxa" w:w="173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FR-ACC-001</w:t>
            </w:r>
          </w:p>
        </w:tc>
        <w:tc>
          <w:tcPr>
            <w:tcW w:type="dxa" w:w="15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AC-ACC-5</w:t>
            </w:r>
          </w:p>
        </w:tc>
        <w:tc>
          <w:tcPr>
            <w:tcW w:type="dxa" w:w="173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FR-ACC-002</w:t>
            </w:r>
          </w:p>
        </w:tc>
        <w:tc>
          <w:tcPr>
            <w:tcW w:type="dxa" w:w="15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AC-ACC-1</w:t>
            </w:r>
          </w:p>
        </w:tc>
        <w:tc>
          <w:tcPr>
            <w:tcW w:type="dxa" w:w="173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FR-ACC-003</w:t>
            </w:r>
          </w:p>
        </w:tc>
        <w:tc>
          <w:tcPr>
            <w:tcW w:type="dxa" w:w="15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AC-ACC-5</w:t>
            </w:r>
          </w:p>
        </w:tc>
      </w:tr>
      <w:tr>
        <w:trPr>
          <w:cantSplit/>
        </w:trPr>
        <w:tc>
          <w:tcPr>
            <w:tcW w:type="dxa" w:w="173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FR-ACC-004</w:t>
            </w:r>
          </w:p>
        </w:tc>
        <w:tc>
          <w:tcPr>
            <w:tcW w:type="dxa" w:w="15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AC-ACC-1</w:t>
            </w:r>
          </w:p>
        </w:tc>
        <w:tc>
          <w:tcPr>
            <w:tcW w:type="dxa" w:w="173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FR-ACC-005</w:t>
            </w:r>
          </w:p>
        </w:tc>
        <w:tc>
          <w:tcPr>
            <w:tcW w:type="dxa" w:w="15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AC-ACC-1</w:t>
            </w:r>
          </w:p>
        </w:tc>
        <w:tc>
          <w:tcPr>
            <w:tcW w:type="dxa" w:w="173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FR-ACC-006</w:t>
            </w:r>
          </w:p>
        </w:tc>
        <w:tc>
          <w:tcPr>
            <w:tcW w:type="dxa" w:w="15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AC-ACC-1</w:t>
            </w:r>
          </w:p>
        </w:tc>
      </w:tr>
      <w:tr>
        <w:trPr>
          <w:cantSplit/>
        </w:trPr>
        <w:tc>
          <w:tcPr>
            <w:tcW w:type="dxa" w:w="173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FR-ACC-007</w:t>
            </w:r>
          </w:p>
        </w:tc>
        <w:tc>
          <w:tcPr>
            <w:tcW w:type="dxa" w:w="15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AC-ACC-5</w:t>
            </w:r>
          </w:p>
        </w:tc>
        <w:tc>
          <w:tcPr>
            <w:tcW w:type="dxa" w:w="173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FR-ACC-008</w:t>
            </w:r>
          </w:p>
        </w:tc>
        <w:tc>
          <w:tcPr>
            <w:tcW w:type="dxa" w:w="15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AC-ACC-5، AC-ACC-1</w:t>
            </w:r>
          </w:p>
        </w:tc>
        <w:tc>
          <w:tcPr>
            <w:tcW w:type="dxa" w:w="173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FR-ACC-009</w:t>
            </w:r>
          </w:p>
        </w:tc>
        <w:tc>
          <w:tcPr>
            <w:tcW w:type="dxa" w:w="15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AC-ACC-1</w:t>
            </w:r>
          </w:p>
        </w:tc>
      </w:tr>
      <w:tr>
        <w:trPr>
          <w:cantSplit/>
        </w:trPr>
        <w:tc>
          <w:tcPr>
            <w:tcW w:type="dxa" w:w="173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FR-ACC-022</w:t>
            </w:r>
          </w:p>
        </w:tc>
        <w:tc>
          <w:tcPr>
            <w:tcW w:type="dxa" w:w="15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AC-ACC-6</w:t>
            </w:r>
          </w:p>
        </w:tc>
        <w:tc>
          <w:tcPr>
            <w:tcW w:type="dxa" w:w="173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15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173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15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bl>
    <w:p>
      <w:pPr>
        <w:bidi/>
        <w:spacing w:after="120" w:before="0"/>
      </w:pPr>
    </w:p>
    <w:p>
      <w:pPr>
        <w:pStyle w:val="Heading2"/>
        <w:bidi/>
      </w:pPr>
      <w:bookmarkStart w:name="_sec20" w:id="20"/>
      <w:r>
        <w:rPr>
          <w:rFonts w:ascii="Arial" w:cs="Arial" w:eastAsia="Arial" w:hAnsi="Arial"/>
          <w:b/>
          <w:bCs/>
          <w:color w:val="2B5C8A"/>
          <w:sz w:val="26"/>
          <w:szCs w:val="26"/>
          <w:rtl/>
        </w:rPr>
        <w:t xml:space="preserve">5.6 الكتالوجات (CAT)</w:t>
      </w:r>
      <w:bookmarkEnd w:id="20"/>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1733"/>
        <w:gridCol w:w="1557"/>
        <w:gridCol w:w="1730"/>
        <w:gridCol w:w="1557"/>
        <w:gridCol w:w="1730"/>
        <w:gridCol w:w="1557"/>
      </w:tblGrid>
      <w:tr>
        <w:trPr>
          <w:cantSplit/>
          <w:tblHeader/>
        </w:trPr>
        <w:tc>
          <w:tcPr>
            <w:tcW w:type="dxa" w:w="1733"/>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المتطلب</w:t>
            </w:r>
          </w:p>
        </w:tc>
        <w:tc>
          <w:tcPr>
            <w:tcW w:type="dxa" w:w="1557"/>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السيناريو</w:t>
            </w:r>
          </w:p>
        </w:tc>
        <w:tc>
          <w:tcPr>
            <w:tcW w:type="dxa" w:w="1730"/>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المتطلب</w:t>
            </w:r>
          </w:p>
        </w:tc>
        <w:tc>
          <w:tcPr>
            <w:tcW w:type="dxa" w:w="1557"/>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السيناريو</w:t>
            </w:r>
          </w:p>
        </w:tc>
        <w:tc>
          <w:tcPr>
            <w:tcW w:type="dxa" w:w="1730"/>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المتطلب</w:t>
            </w:r>
          </w:p>
        </w:tc>
        <w:tc>
          <w:tcPr>
            <w:tcW w:type="dxa" w:w="1557"/>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السيناريو</w:t>
            </w:r>
          </w:p>
        </w:tc>
      </w:tr>
      <w:tr>
        <w:trPr>
          <w:cantSplit/>
        </w:trPr>
        <w:tc>
          <w:tcPr>
            <w:tcW w:type="dxa" w:w="173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FR-CAT-001</w:t>
            </w:r>
          </w:p>
        </w:tc>
        <w:tc>
          <w:tcPr>
            <w:tcW w:type="dxa" w:w="15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AC-CAT-4</w:t>
            </w:r>
          </w:p>
        </w:tc>
        <w:tc>
          <w:tcPr>
            <w:tcW w:type="dxa" w:w="173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FR-CAT-002</w:t>
            </w:r>
          </w:p>
        </w:tc>
        <w:tc>
          <w:tcPr>
            <w:tcW w:type="dxa" w:w="15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AC-CAT-1</w:t>
            </w:r>
          </w:p>
        </w:tc>
        <w:tc>
          <w:tcPr>
            <w:tcW w:type="dxa" w:w="173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FR-CAT-004</w:t>
            </w:r>
          </w:p>
        </w:tc>
        <w:tc>
          <w:tcPr>
            <w:tcW w:type="dxa" w:w="15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AC-CAT-1</w:t>
            </w:r>
          </w:p>
        </w:tc>
      </w:tr>
      <w:tr>
        <w:trPr>
          <w:cantSplit/>
        </w:trPr>
        <w:tc>
          <w:tcPr>
            <w:tcW w:type="dxa" w:w="173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FR-CAT-005</w:t>
            </w:r>
          </w:p>
        </w:tc>
        <w:tc>
          <w:tcPr>
            <w:tcW w:type="dxa" w:w="15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AC-CAT-4</w:t>
            </w:r>
          </w:p>
        </w:tc>
        <w:tc>
          <w:tcPr>
            <w:tcW w:type="dxa" w:w="173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FR-CAT-006</w:t>
            </w:r>
          </w:p>
        </w:tc>
        <w:tc>
          <w:tcPr>
            <w:tcW w:type="dxa" w:w="15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AC-CAT-1</w:t>
            </w:r>
          </w:p>
        </w:tc>
        <w:tc>
          <w:tcPr>
            <w:tcW w:type="dxa" w:w="173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FR-CAT-007</w:t>
            </w:r>
          </w:p>
        </w:tc>
        <w:tc>
          <w:tcPr>
            <w:tcW w:type="dxa" w:w="15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AC-CAT-5</w:t>
            </w:r>
          </w:p>
        </w:tc>
      </w:tr>
      <w:tr>
        <w:trPr>
          <w:cantSplit/>
        </w:trPr>
        <w:tc>
          <w:tcPr>
            <w:tcW w:type="dxa" w:w="173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FR-CAT-008</w:t>
            </w:r>
          </w:p>
        </w:tc>
        <w:tc>
          <w:tcPr>
            <w:tcW w:type="dxa" w:w="15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AC-CAT-5</w:t>
            </w:r>
          </w:p>
        </w:tc>
        <w:tc>
          <w:tcPr>
            <w:tcW w:type="dxa" w:w="173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FR-CAT-009</w:t>
            </w:r>
          </w:p>
        </w:tc>
        <w:tc>
          <w:tcPr>
            <w:tcW w:type="dxa" w:w="15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AC-CAT-5</w:t>
            </w:r>
          </w:p>
        </w:tc>
        <w:tc>
          <w:tcPr>
            <w:tcW w:type="dxa" w:w="173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FR-CAT-010</w:t>
            </w:r>
          </w:p>
        </w:tc>
        <w:tc>
          <w:tcPr>
            <w:tcW w:type="dxa" w:w="15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AC-CAT-5</w:t>
            </w:r>
          </w:p>
        </w:tc>
      </w:tr>
      <w:tr>
        <w:trPr>
          <w:cantSplit/>
        </w:trPr>
        <w:tc>
          <w:tcPr>
            <w:tcW w:type="dxa" w:w="173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FR-CAT-011</w:t>
            </w:r>
          </w:p>
        </w:tc>
        <w:tc>
          <w:tcPr>
            <w:tcW w:type="dxa" w:w="15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AC-CAT-6</w:t>
            </w:r>
          </w:p>
        </w:tc>
        <w:tc>
          <w:tcPr>
            <w:tcW w:type="dxa" w:w="173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FR-CAT-012</w:t>
            </w:r>
          </w:p>
        </w:tc>
        <w:tc>
          <w:tcPr>
            <w:tcW w:type="dxa" w:w="15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AC-CAT-6</w:t>
            </w:r>
          </w:p>
        </w:tc>
        <w:tc>
          <w:tcPr>
            <w:tcW w:type="dxa" w:w="173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FR-CAT-013</w:t>
            </w:r>
          </w:p>
        </w:tc>
        <w:tc>
          <w:tcPr>
            <w:tcW w:type="dxa" w:w="15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AC-CAT-6</w:t>
            </w:r>
          </w:p>
        </w:tc>
      </w:tr>
      <w:tr>
        <w:trPr>
          <w:cantSplit/>
        </w:trPr>
        <w:tc>
          <w:tcPr>
            <w:tcW w:type="dxa" w:w="173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FR-CAT-014</w:t>
            </w:r>
          </w:p>
        </w:tc>
        <w:tc>
          <w:tcPr>
            <w:tcW w:type="dxa" w:w="15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AC-CAT-6</w:t>
            </w:r>
          </w:p>
        </w:tc>
        <w:tc>
          <w:tcPr>
            <w:tcW w:type="dxa" w:w="173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FR-CAT-015</w:t>
            </w:r>
          </w:p>
        </w:tc>
        <w:tc>
          <w:tcPr>
            <w:tcW w:type="dxa" w:w="15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AC-CAT-3</w:t>
            </w:r>
          </w:p>
        </w:tc>
        <w:tc>
          <w:tcPr>
            <w:tcW w:type="dxa" w:w="173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FR-CAT-016</w:t>
            </w:r>
          </w:p>
        </w:tc>
        <w:tc>
          <w:tcPr>
            <w:tcW w:type="dxa" w:w="15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AC-CAT-2</w:t>
            </w:r>
          </w:p>
        </w:tc>
      </w:tr>
      <w:tr>
        <w:trPr>
          <w:cantSplit/>
        </w:trPr>
        <w:tc>
          <w:tcPr>
            <w:tcW w:type="dxa" w:w="173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FR-CAT-018</w:t>
            </w:r>
          </w:p>
        </w:tc>
        <w:tc>
          <w:tcPr>
            <w:tcW w:type="dxa" w:w="15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AC-CAT-1، AC-PLT-15</w:t>
            </w:r>
          </w:p>
        </w:tc>
        <w:tc>
          <w:tcPr>
            <w:tcW w:type="dxa" w:w="173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FR-CAT-019</w:t>
            </w:r>
          </w:p>
        </w:tc>
        <w:tc>
          <w:tcPr>
            <w:tcW w:type="dxa" w:w="15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AC-CAT-1</w:t>
            </w:r>
          </w:p>
        </w:tc>
        <w:tc>
          <w:tcPr>
            <w:tcW w:type="dxa" w:w="173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FR-CAT-020</w:t>
            </w:r>
          </w:p>
        </w:tc>
        <w:tc>
          <w:tcPr>
            <w:tcW w:type="dxa" w:w="15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AC-CAT-7</w:t>
            </w:r>
          </w:p>
        </w:tc>
      </w:tr>
      <w:tr>
        <w:trPr>
          <w:cantSplit/>
        </w:trPr>
        <w:tc>
          <w:tcPr>
            <w:tcW w:type="dxa" w:w="173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FR-CAT-021</w:t>
            </w:r>
          </w:p>
        </w:tc>
        <w:tc>
          <w:tcPr>
            <w:tcW w:type="dxa" w:w="15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AC-CAT-7</w:t>
            </w:r>
          </w:p>
        </w:tc>
        <w:tc>
          <w:tcPr>
            <w:tcW w:type="dxa" w:w="173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FR-CAT-022</w:t>
            </w:r>
          </w:p>
        </w:tc>
        <w:tc>
          <w:tcPr>
            <w:tcW w:type="dxa" w:w="15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AC-CAT-5</w:t>
            </w:r>
          </w:p>
        </w:tc>
        <w:tc>
          <w:tcPr>
            <w:tcW w:type="dxa" w:w="173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FR-CAT-023</w:t>
            </w:r>
          </w:p>
        </w:tc>
        <w:tc>
          <w:tcPr>
            <w:tcW w:type="dxa" w:w="15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AC-CAT-7</w:t>
            </w:r>
          </w:p>
        </w:tc>
      </w:tr>
      <w:tr>
        <w:trPr>
          <w:cantSplit/>
        </w:trPr>
        <w:tc>
          <w:tcPr>
            <w:tcW w:type="dxa" w:w="173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FR-CAT-025</w:t>
            </w:r>
          </w:p>
        </w:tc>
        <w:tc>
          <w:tcPr>
            <w:tcW w:type="dxa" w:w="15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AC-CAT-4</w:t>
            </w:r>
          </w:p>
        </w:tc>
        <w:tc>
          <w:tcPr>
            <w:tcW w:type="dxa" w:w="173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FR-CAT-026</w:t>
            </w:r>
          </w:p>
        </w:tc>
        <w:tc>
          <w:tcPr>
            <w:tcW w:type="dxa" w:w="15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AC-CAT-1</w:t>
            </w:r>
          </w:p>
        </w:tc>
        <w:tc>
          <w:tcPr>
            <w:tcW w:type="dxa" w:w="173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15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bl>
    <w:p>
      <w:pPr>
        <w:bidi/>
        <w:spacing w:after="120" w:before="0"/>
      </w:pPr>
    </w:p>
    <w:p>
      <w:pPr>
        <w:pStyle w:val="Heading2"/>
        <w:bidi/>
      </w:pPr>
      <w:bookmarkStart w:name="_sec21" w:id="21"/>
      <w:r>
        <w:rPr>
          <w:rFonts w:ascii="Arial" w:cs="Arial" w:eastAsia="Arial" w:hAnsi="Arial"/>
          <w:b/>
          <w:bCs/>
          <w:color w:val="2B5C8A"/>
          <w:sz w:val="26"/>
          <w:szCs w:val="26"/>
          <w:rtl/>
        </w:rPr>
        <w:t xml:space="preserve">5.7 الإشعارات في S1 (NTF)</w:t>
      </w:r>
      <w:bookmarkEnd w:id="21"/>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1733"/>
        <w:gridCol w:w="1557"/>
        <w:gridCol w:w="1730"/>
        <w:gridCol w:w="1557"/>
        <w:gridCol w:w="1730"/>
        <w:gridCol w:w="1557"/>
      </w:tblGrid>
      <w:tr>
        <w:trPr>
          <w:cantSplit/>
          <w:tblHeader/>
        </w:trPr>
        <w:tc>
          <w:tcPr>
            <w:tcW w:type="dxa" w:w="1733"/>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المتطلب</w:t>
            </w:r>
          </w:p>
        </w:tc>
        <w:tc>
          <w:tcPr>
            <w:tcW w:type="dxa" w:w="1557"/>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السيناريو</w:t>
            </w:r>
          </w:p>
        </w:tc>
        <w:tc>
          <w:tcPr>
            <w:tcW w:type="dxa" w:w="1730"/>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المتطلب</w:t>
            </w:r>
          </w:p>
        </w:tc>
        <w:tc>
          <w:tcPr>
            <w:tcW w:type="dxa" w:w="1557"/>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السيناريو</w:t>
            </w:r>
          </w:p>
        </w:tc>
        <w:tc>
          <w:tcPr>
            <w:tcW w:type="dxa" w:w="1730"/>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المتطلب</w:t>
            </w:r>
          </w:p>
        </w:tc>
        <w:tc>
          <w:tcPr>
            <w:tcW w:type="dxa" w:w="1557"/>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السيناريو</w:t>
            </w:r>
          </w:p>
        </w:tc>
      </w:tr>
      <w:tr>
        <w:trPr>
          <w:cantSplit/>
        </w:trPr>
        <w:tc>
          <w:tcPr>
            <w:tcW w:type="dxa" w:w="173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FR-NTF-001</w:t>
            </w:r>
          </w:p>
        </w:tc>
        <w:tc>
          <w:tcPr>
            <w:tcW w:type="dxa" w:w="15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AC-WFL-10</w:t>
            </w:r>
          </w:p>
        </w:tc>
        <w:tc>
          <w:tcPr>
            <w:tcW w:type="dxa" w:w="173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FR-NTF-002</w:t>
            </w:r>
          </w:p>
        </w:tc>
        <w:tc>
          <w:tcPr>
            <w:tcW w:type="dxa" w:w="15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AC-NTF-1</w:t>
            </w:r>
          </w:p>
        </w:tc>
        <w:tc>
          <w:tcPr>
            <w:tcW w:type="dxa" w:w="173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FR-NTF-003</w:t>
            </w:r>
          </w:p>
        </w:tc>
        <w:tc>
          <w:tcPr>
            <w:tcW w:type="dxa" w:w="15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AC-NTF-2</w:t>
            </w:r>
          </w:p>
        </w:tc>
      </w:tr>
      <w:tr>
        <w:trPr>
          <w:cantSplit/>
        </w:trPr>
        <w:tc>
          <w:tcPr>
            <w:tcW w:type="dxa" w:w="173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FR-NTF-004</w:t>
            </w:r>
          </w:p>
        </w:tc>
        <w:tc>
          <w:tcPr>
            <w:tcW w:type="dxa" w:w="15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AC-WFL-8</w:t>
            </w:r>
          </w:p>
        </w:tc>
        <w:tc>
          <w:tcPr>
            <w:tcW w:type="dxa" w:w="173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FR-NTF-005</w:t>
            </w:r>
          </w:p>
        </w:tc>
        <w:tc>
          <w:tcPr>
            <w:tcW w:type="dxa" w:w="15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AC-NTF-2</w:t>
            </w:r>
          </w:p>
        </w:tc>
        <w:tc>
          <w:tcPr>
            <w:tcW w:type="dxa" w:w="173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FR-NTF-006</w:t>
            </w:r>
          </w:p>
        </w:tc>
        <w:tc>
          <w:tcPr>
            <w:tcW w:type="dxa" w:w="15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AC-NTF-2</w:t>
            </w:r>
          </w:p>
        </w:tc>
      </w:tr>
      <w:tr>
        <w:trPr>
          <w:cantSplit/>
        </w:trPr>
        <w:tc>
          <w:tcPr>
            <w:tcW w:type="dxa" w:w="173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FR-NTF-008</w:t>
            </w:r>
          </w:p>
        </w:tc>
        <w:tc>
          <w:tcPr>
            <w:tcW w:type="dxa" w:w="15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AC-WFL-8</w:t>
            </w:r>
          </w:p>
        </w:tc>
        <w:tc>
          <w:tcPr>
            <w:tcW w:type="dxa" w:w="173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FR-NTF-010</w:t>
            </w:r>
          </w:p>
        </w:tc>
        <w:tc>
          <w:tcPr>
            <w:tcW w:type="dxa" w:w="15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AC-NTF-2</w:t>
            </w:r>
          </w:p>
        </w:tc>
        <w:tc>
          <w:tcPr>
            <w:tcW w:type="dxa" w:w="173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FR-NTF-012</w:t>
            </w:r>
          </w:p>
        </w:tc>
        <w:tc>
          <w:tcPr>
            <w:tcW w:type="dxa" w:w="15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AC-NTF-1</w:t>
            </w:r>
          </w:p>
        </w:tc>
      </w:tr>
      <w:tr>
        <w:trPr>
          <w:cantSplit/>
        </w:trPr>
        <w:tc>
          <w:tcPr>
            <w:tcW w:type="dxa" w:w="173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FR-NTF-016</w:t>
            </w:r>
          </w:p>
        </w:tc>
        <w:tc>
          <w:tcPr>
            <w:tcW w:type="dxa" w:w="15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AC-PLT-20</w:t>
            </w:r>
          </w:p>
        </w:tc>
        <w:tc>
          <w:tcPr>
            <w:tcW w:type="dxa" w:w="173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FR-NTF-018</w:t>
            </w:r>
          </w:p>
        </w:tc>
        <w:tc>
          <w:tcPr>
            <w:tcW w:type="dxa" w:w="15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AC-NTF-3</w:t>
            </w:r>
          </w:p>
        </w:tc>
        <w:tc>
          <w:tcPr>
            <w:tcW w:type="dxa" w:w="173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FR-NTF-019</w:t>
            </w:r>
          </w:p>
        </w:tc>
        <w:tc>
          <w:tcPr>
            <w:tcW w:type="dxa" w:w="15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AC-NTF-3</w:t>
            </w:r>
          </w:p>
        </w:tc>
      </w:tr>
      <w:tr>
        <w:trPr>
          <w:cantSplit/>
        </w:trPr>
        <w:tc>
          <w:tcPr>
            <w:tcW w:type="dxa" w:w="173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FR-NTF-021</w:t>
            </w:r>
          </w:p>
        </w:tc>
        <w:tc>
          <w:tcPr>
            <w:tcW w:type="dxa" w:w="15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AC-NTF-1</w:t>
            </w:r>
          </w:p>
        </w:tc>
        <w:tc>
          <w:tcPr>
            <w:tcW w:type="dxa" w:w="173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FR-NTF-022</w:t>
            </w:r>
          </w:p>
        </w:tc>
        <w:tc>
          <w:tcPr>
            <w:tcW w:type="dxa" w:w="15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AC-NTF-3</w:t>
            </w:r>
          </w:p>
        </w:tc>
        <w:tc>
          <w:tcPr>
            <w:tcW w:type="dxa" w:w="173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FR-NTF-024</w:t>
            </w:r>
          </w:p>
        </w:tc>
        <w:tc>
          <w:tcPr>
            <w:tcW w:type="dxa" w:w="15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AC-NTF-4</w:t>
            </w:r>
          </w:p>
        </w:tc>
      </w:tr>
    </w:tbl>
    <w:p>
      <w:pPr>
        <w:bidi/>
        <w:spacing w:after="120" w:before="0"/>
      </w:pPr>
    </w:p>
    <w:p>
      <w:pPr>
        <w:bidi/>
        <w:spacing w:after="110" w:before="0" w:line="312"/>
      </w:pPr>
      <w:r>
        <w:rPr>
          <w:rFonts w:ascii="Arial" w:cs="Arial" w:eastAsia="Arial" w:hAnsi="Arial"/>
          <w:b w:val="false"/>
          <w:bCs w:val="false"/>
          <w:sz w:val="21"/>
          <w:szCs w:val="21"/>
          <w:rtl/>
        </w:rPr>
        <w:t xml:space="preserve">الحصيلة: 146 متطلبًا، كلها مغطاة؛ 36 بسيناريو قائم و110 بسيناريو جديد. في S0: 7 من 38 كانت مغطاة، وفي S1: 29 من 108.</w:t>
      </w:r>
    </w:p>
    <w:p>
      <w:pPr>
        <w:pStyle w:val="Heading1"/>
        <w:bidi/>
      </w:pPr>
      <w:bookmarkStart w:name="_sec22" w:id="22"/>
      <w:r>
        <w:rPr>
          <w:rFonts w:ascii="Arial" w:cs="Arial" w:eastAsia="Arial" w:hAnsi="Arial"/>
          <w:b/>
          <w:bCs/>
          <w:color w:val="1F3A5F"/>
          <w:sz w:val="32"/>
          <w:szCs w:val="32"/>
          <w:rtl/>
        </w:rPr>
        <w:t xml:space="preserve">6. القرارات المطلوبة</w:t>
      </w:r>
      <w:bookmarkEnd w:id="22"/>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948"/>
        <w:gridCol w:w="1403"/>
        <w:gridCol w:w="5617"/>
        <w:gridCol w:w="948"/>
        <w:gridCol w:w="948"/>
      </w:tblGrid>
      <w:tr>
        <w:trPr>
          <w:cantSplit/>
          <w:tblHeader/>
        </w:trPr>
        <w:tc>
          <w:tcPr>
            <w:tcW w:type="dxa" w:w="948"/>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المعرّف</w:t>
            </w:r>
          </w:p>
        </w:tc>
        <w:tc>
          <w:tcPr>
            <w:tcW w:type="dxa" w:w="1403"/>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السؤال</w:t>
            </w:r>
          </w:p>
        </w:tc>
        <w:tc>
          <w:tcPr>
            <w:tcW w:type="dxa" w:w="5617"/>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الافتراض المقترح</w:t>
            </w:r>
          </w:p>
        </w:tc>
        <w:tc>
          <w:tcPr>
            <w:tcW w:type="dxa" w:w="948"/>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من يقرر</w:t>
            </w:r>
          </w:p>
        </w:tc>
        <w:tc>
          <w:tcPr>
            <w:tcW w:type="dxa" w:w="948"/>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ما يعطّله</w:t>
            </w:r>
          </w:p>
        </w:tc>
      </w:tr>
      <w:tr>
        <w:trPr>
          <w:cantSplit/>
        </w:trPr>
        <w:tc>
          <w:tcPr>
            <w:tcW w:type="dxa" w:w="94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DQ-B02-1</w:t>
            </w:r>
          </w:p>
        </w:tc>
        <w:tc>
          <w:tcPr>
            <w:tcW w:type="dxa" w:w="140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AC-PLT-1 يختبر صفًا عامًا في LookupItem، والقاعدة جعلته مملوكًا للمشترك</w:t>
            </w:r>
          </w:p>
        </w:tc>
        <w:tc>
          <w:tcPr>
            <w:tcW w:type="dxa" w:w="561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يُعاد نص AC-PLT-1 على cfg.NonWorkingDay كما في T9-T12، وتُحدَّث قائمة الجداول المختلطة في BR-PLT-001</w:t>
            </w:r>
          </w:p>
        </w:tc>
        <w:tc>
          <w:tcPr>
            <w:tcW w:type="dxa" w:w="94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محلل الأعمال مع قائد قاعدة البيانات</w:t>
            </w:r>
          </w:p>
        </w:tc>
        <w:tc>
          <w:tcPr>
            <w:tcW w:type="dxa" w:w="94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خروج S0</w:t>
            </w:r>
          </w:p>
        </w:tc>
      </w:tr>
      <w:tr>
        <w:trPr>
          <w:cantSplit/>
        </w:trPr>
        <w:tc>
          <w:tcPr>
            <w:tcW w:type="dxa" w:w="94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DQ-B02-2</w:t>
            </w:r>
          </w:p>
        </w:tc>
        <w:tc>
          <w:tcPr>
            <w:tcW w:type="dxa" w:w="140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لغة الرجوع في الإشعار حين يغيب قالب لغة المستلم</w:t>
            </w:r>
          </w:p>
        </w:tc>
        <w:tc>
          <w:tcPr>
            <w:tcW w:type="dxa" w:w="561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Segoe UI Emoji" w:cs="Segoe UI Emoji" w:eastAsia="Segoe UI Emoji" w:hAnsi="Segoe UI Emoji"/>
                <w:sz w:val="18"/>
                <w:szCs w:val="18"/>
                <w:rtl/>
              </w:rPr>
              <w:t xml:space="preserve">✅</w:t>
            </w:r>
            <w:r>
              <w:rPr>
                <w:rFonts w:ascii="Arial" w:cs="Arial" w:eastAsia="Arial" w:hAnsi="Arial"/>
                <w:b w:val="false"/>
                <w:bCs w:val="false"/>
                <w:sz w:val="18"/>
                <w:szCs w:val="18"/>
                <w:rtl/>
              </w:rPr>
              <w:t xml:space="preserve"> معتمد من المالك (2026-10-12): الإنجليزية، اللغة الأساس</w:t>
            </w:r>
          </w:p>
        </w:tc>
        <w:tc>
          <w:tcPr>
            <w:tcW w:type="dxa" w:w="94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مالك المنتج</w:t>
            </w:r>
          </w:p>
        </w:tc>
        <w:tc>
          <w:tcPr>
            <w:tcW w:type="dxa" w:w="94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AC-NTF-4</w:t>
            </w:r>
          </w:p>
        </w:tc>
      </w:tr>
      <w:tr>
        <w:trPr>
          <w:cantSplit/>
        </w:trPr>
        <w:tc>
          <w:tcPr>
            <w:tcW w:type="dxa" w:w="94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DQ-B02-3</w:t>
            </w:r>
          </w:p>
        </w:tc>
        <w:tc>
          <w:tcPr>
            <w:tcW w:type="dxa" w:w="140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النتيجة المتوقعة لدخول مستخدم غير مدير الحساب إلى مشترك SUSPENDED</w:t>
            </w:r>
          </w:p>
        </w:tc>
        <w:tc>
          <w:tcPr>
            <w:tcW w:type="dxa" w:w="561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Segoe UI Emoji" w:cs="Segoe UI Emoji" w:eastAsia="Segoe UI Emoji" w:hAnsi="Segoe UI Emoji"/>
                <w:sz w:val="18"/>
                <w:szCs w:val="18"/>
                <w:rtl/>
              </w:rPr>
              <w:t xml:space="preserve">✅</w:t>
            </w:r>
            <w:r>
              <w:rPr>
                <w:rFonts w:ascii="Arial" w:cs="Arial" w:eastAsia="Arial" w:hAnsi="Arial"/>
                <w:b w:val="false"/>
                <w:bCs w:val="false"/>
                <w:sz w:val="18"/>
                <w:szCs w:val="18"/>
                <w:rtl/>
              </w:rPr>
              <w:t xml:space="preserve"> معتمد من المالك (2026-10-12): تتبع قرار O-18 (erd_open_items)</w:t>
            </w:r>
          </w:p>
        </w:tc>
        <w:tc>
          <w:tcPr>
            <w:tcW w:type="dxa" w:w="94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مالك المنتج مع معماري القاعدة</w:t>
            </w:r>
          </w:p>
        </w:tc>
        <w:tc>
          <w:tcPr>
            <w:tcW w:type="dxa" w:w="94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AC-PLT-6</w:t>
            </w:r>
          </w:p>
        </w:tc>
      </w:tr>
      <w:tr>
        <w:trPr>
          <w:cantSplit/>
        </w:trPr>
        <w:tc>
          <w:tcPr>
            <w:tcW w:type="dxa" w:w="94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DQ-B02-4</w:t>
            </w:r>
          </w:p>
        </w:tc>
        <w:tc>
          <w:tcPr>
            <w:tcW w:type="dxa" w:w="140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هل يُسمح بالفجوات في الترقيم (O-12، erd_open_items)</w:t>
            </w:r>
          </w:p>
        </w:tc>
        <w:tc>
          <w:tcPr>
            <w:tcW w:type="dxa" w:w="561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Segoe UI Emoji" w:cs="Segoe UI Emoji" w:eastAsia="Segoe UI Emoji" w:hAnsi="Segoe UI Emoji"/>
                <w:sz w:val="18"/>
                <w:szCs w:val="18"/>
                <w:rtl/>
              </w:rPr>
              <w:t xml:space="preserve">✅</w:t>
            </w:r>
            <w:r>
              <w:rPr>
                <w:rFonts w:ascii="Arial" w:cs="Arial" w:eastAsia="Arial" w:hAnsi="Arial"/>
                <w:b w:val="false"/>
                <w:bCs w:val="false"/>
                <w:sz w:val="18"/>
                <w:szCs w:val="18"/>
                <w:rtl/>
              </w:rPr>
              <w:t xml:space="preserve"> معتمد من المالك (2026-10-12): بلا فجوات للطلبات والبروفورما كما في Q-PLT-08، وإلا يُعدَّل AC-PLT-3</w:t>
            </w:r>
          </w:p>
        </w:tc>
        <w:tc>
          <w:tcPr>
            <w:tcW w:type="dxa" w:w="94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مالك المنتج مع الجهة القانونية</w:t>
            </w:r>
          </w:p>
        </w:tc>
        <w:tc>
          <w:tcPr>
            <w:tcW w:type="dxa" w:w="94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AC-PLT-3</w:t>
            </w:r>
          </w:p>
        </w:tc>
      </w:tr>
      <w:tr>
        <w:trPr>
          <w:cantSplit/>
        </w:trPr>
        <w:tc>
          <w:tcPr>
            <w:tcW w:type="dxa" w:w="94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DQ-B02-5</w:t>
            </w:r>
          </w:p>
        </w:tc>
        <w:tc>
          <w:tcPr>
            <w:tcW w:type="dxa" w:w="140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أثر الأولوية على الخروج</w:t>
            </w:r>
          </w:p>
        </w:tc>
        <w:tc>
          <w:tcPr>
            <w:tcW w:type="dxa" w:w="561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Segoe UI Emoji" w:cs="Segoe UI Emoji" w:eastAsia="Segoe UI Emoji" w:hAnsi="Segoe UI Emoji"/>
                <w:sz w:val="18"/>
                <w:szCs w:val="18"/>
                <w:rtl/>
              </w:rPr>
              <w:t xml:space="preserve">✅</w:t>
            </w:r>
            <w:r>
              <w:rPr>
                <w:rFonts w:ascii="Arial" w:cs="Arial" w:eastAsia="Arial" w:hAnsi="Arial"/>
                <w:b w:val="false"/>
                <w:bCs w:val="false"/>
                <w:sz w:val="18"/>
                <w:szCs w:val="18"/>
                <w:rtl/>
              </w:rPr>
              <w:t xml:space="preserve"> معتمد من المالك (2026-10-12): Must يوقف الخروج، وShould يوقفه إلا بتأجيل مكتوب، وCould لا يوقفه</w:t>
            </w:r>
          </w:p>
        </w:tc>
        <w:tc>
          <w:tcPr>
            <w:tcW w:type="dxa" w:w="94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مالك المنتج</w:t>
            </w:r>
          </w:p>
        </w:tc>
        <w:tc>
          <w:tcPr>
            <w:tcW w:type="dxa" w:w="94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w:t>
            </w:r>
          </w:p>
        </w:tc>
      </w:tr>
      <w:tr>
        <w:trPr>
          <w:cantSplit/>
        </w:trPr>
        <w:tc>
          <w:tcPr>
            <w:tcW w:type="dxa" w:w="94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DQ-B02-6</w:t>
            </w:r>
          </w:p>
        </w:tc>
        <w:tc>
          <w:tcPr>
            <w:tcW w:type="dxa" w:w="140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أين يُحفظ نص السيناريوهات الجديدة</w:t>
            </w:r>
          </w:p>
        </w:tc>
        <w:tc>
          <w:tcPr>
            <w:tcW w:type="dxa" w:w="561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يُنقل بعد الاعتماد إلى §15 في 10 و11 و13 ليبقى مصدر واحد يقرؤه tools/gen_indexes.py</w:t>
            </w:r>
          </w:p>
        </w:tc>
        <w:tc>
          <w:tcPr>
            <w:tcW w:type="dxa" w:w="94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محلل الأعمال</w:t>
            </w:r>
          </w:p>
        </w:tc>
        <w:tc>
          <w:tcPr>
            <w:tcW w:type="dxa" w:w="94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DOC-B08</w:t>
            </w:r>
          </w:p>
        </w:tc>
      </w:tr>
      <w:tr>
        <w:trPr>
          <w:cantSplit/>
        </w:trPr>
        <w:tc>
          <w:tcPr>
            <w:tcW w:type="dxa" w:w="94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DQ-B02-7</w:t>
            </w:r>
          </w:p>
        </w:tc>
        <w:tc>
          <w:tcPr>
            <w:tcW w:type="dxa" w:w="140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ترقيم AC بخانة واحدة أم بخانتين</w:t>
            </w:r>
          </w:p>
        </w:tc>
        <w:tc>
          <w:tcPr>
            <w:tcW w:type="dxa" w:w="561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كما في docs/10-detailed-analysis/00-overview-and-cross-cutting.md:124 بلا أصفار بادئة</w:t>
            </w:r>
          </w:p>
        </w:tc>
        <w:tc>
          <w:tcPr>
            <w:tcW w:type="dxa" w:w="94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محلل الأعمال</w:t>
            </w:r>
          </w:p>
        </w:tc>
        <w:tc>
          <w:tcPr>
            <w:tcW w:type="dxa" w:w="94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 شيء</w:t>
            </w:r>
          </w:p>
        </w:tc>
      </w:tr>
    </w:tbl>
    <w:p>
      <w:pPr>
        <w:bidi/>
        <w:spacing w:after="120" w:before="0"/>
      </w:pPr>
    </w:p>
    <w:p>
      <w:pPr>
        <w:pStyle w:val="Heading1"/>
        <w:bidi/>
      </w:pPr>
      <w:bookmarkStart w:name="_sec23" w:id="23"/>
      <w:r>
        <w:rPr>
          <w:rFonts w:ascii="Arial" w:cs="Arial" w:eastAsia="Arial" w:hAnsi="Arial"/>
          <w:b/>
          <w:bCs/>
          <w:color w:val="1F3A5F"/>
          <w:sz w:val="32"/>
          <w:szCs w:val="32"/>
          <w:rtl/>
        </w:rPr>
        <w:t xml:space="preserve">7. تعارضات وفجوات في المصادر</w:t>
      </w:r>
      <w:bookmarkEnd w:id="23"/>
    </w:p>
    <w:p>
      <w:pPr>
        <w:pStyle w:val="ListParagraph"/>
        <w:numPr>
          <w:ilvl w:val="0"/>
          <w:numId w:val="3"/>
        </w:numPr>
        <w:bidi/>
        <w:spacing w:after="70" w:before="0" w:line="300"/>
      </w:pPr>
      <w:r>
        <w:rPr>
          <w:rFonts w:ascii="Arial" w:cs="Arial" w:eastAsia="Arial" w:hAnsi="Arial"/>
          <w:b w:val="false"/>
          <w:bCs w:val="false"/>
          <w:sz w:val="21"/>
          <w:szCs w:val="21"/>
          <w:rtl/>
        </w:rPr>
        <w:t xml:space="preserve">AC-PLT-1 يفترض صفًا عامًا في LookupItem (docs/10-detailed-analysis/10-m0-m1-platform-organization.md:651)، وBR-PLT-001 يعدّ LookupList وLookupItem وIncoterm جداول مختلطة (السطر 227). لكن القاعدة تجعل القائمتين مملوكتين للمشترك (docs/20-database-design.md:425، db/model/12-institutions-accounts-catalogs.model:247 و255) وIncoterm عالميًا (docs/20-database-design.md:507). والجداول المختلطة في النموذج هي aud.AuditLog وcfg.NonWorkingDay وref.UcpArticle (db/model/10-platform.model:304 و523، db/model/16-letters-of-credit.model:45).</w:t>
      </w:r>
    </w:p>
    <w:p>
      <w:pPr>
        <w:pStyle w:val="ListParagraph"/>
        <w:numPr>
          <w:ilvl w:val="0"/>
          <w:numId w:val="3"/>
        </w:numPr>
        <w:bidi/>
        <w:spacing w:after="70" w:before="0" w:line="300"/>
      </w:pPr>
      <w:r>
        <w:rPr>
          <w:rFonts w:ascii="Arial" w:cs="Arial" w:eastAsia="Arial" w:hAnsi="Arial"/>
          <w:b w:val="false"/>
          <w:bCs w:val="false"/>
          <w:sz w:val="21"/>
          <w:szCs w:val="21"/>
          <w:rtl/>
        </w:rPr>
        <w:t xml:space="preserve">تعليق رأس db/model/12-institutions-accounts-catalogs.model:5 ما زال يقول إن قوائم القيم مختلطة النطاق، خلافًا للسطرين 247 و255 من الملف نفسه.</w:t>
      </w:r>
    </w:p>
    <w:p>
      <w:pPr>
        <w:pStyle w:val="ListParagraph"/>
        <w:numPr>
          <w:ilvl w:val="0"/>
          <w:numId w:val="3"/>
        </w:numPr>
        <w:bidi/>
        <w:spacing w:after="70" w:before="0" w:line="300"/>
      </w:pPr>
      <w:r>
        <w:rPr>
          <w:rFonts w:ascii="Arial" w:cs="Arial" w:eastAsia="Arial" w:hAnsi="Arial"/>
          <w:b w:val="false"/>
          <w:bCs w:val="false"/>
          <w:sz w:val="21"/>
          <w:szCs w:val="21"/>
          <w:rtl/>
        </w:rPr>
        <w:t xml:space="preserve">FR-NTF-024 يجعل الرجوع إلى العربية (docs/10-detailed-analysis/13-m6-workflow-engine-notifications.md:223)، والقرار أن الإنجليزية هي الأساس (docs/10-detailed-analysis/10-m0-m1-platform-organization.md:134).</w:t>
      </w:r>
    </w:p>
    <w:p>
      <w:pPr>
        <w:pStyle w:val="ListParagraph"/>
        <w:numPr>
          <w:ilvl w:val="0"/>
          <w:numId w:val="3"/>
        </w:numPr>
        <w:bidi/>
        <w:spacing w:after="70" w:before="0" w:line="300"/>
      </w:pPr>
      <w:r>
        <w:rPr>
          <w:rFonts w:ascii="Arial" w:cs="Arial" w:eastAsia="Arial" w:hAnsi="Arial"/>
          <w:b w:val="false"/>
          <w:bCs w:val="false"/>
          <w:sz w:val="21"/>
          <w:szCs w:val="21"/>
          <w:rtl/>
        </w:rPr>
        <w:t xml:space="preserve">عدد المتطلبات المشار إليها في السيناريوهات: السجل يقول 84 (docs/30-readiness-documents.md:348) والتحقق يقول 61 (السطر 350). العدّ الحرفي لمعرّفات FR في أقسام §15 يعطي 61، وفك الصيغة المختصرة مثل FR-WFL-007/020/025/026 يرفعه إلى 91.</w:t>
      </w:r>
    </w:p>
    <w:p>
      <w:pPr>
        <w:pStyle w:val="ListParagraph"/>
        <w:numPr>
          <w:ilvl w:val="0"/>
          <w:numId w:val="3"/>
        </w:numPr>
        <w:bidi/>
        <w:spacing w:after="70" w:before="0" w:line="300"/>
      </w:pPr>
      <w:r>
        <w:rPr>
          <w:rFonts w:ascii="Arial" w:cs="Arial" w:eastAsia="Arial" w:hAnsi="Arial"/>
          <w:b w:val="false"/>
          <w:bCs w:val="false"/>
          <w:sz w:val="21"/>
          <w:szCs w:val="21"/>
          <w:rtl/>
        </w:rPr>
        <w:t xml:space="preserve">رأس AC-ACC-1 لا يذكر أي FR (docs/10-detailed-analysis/11-m2-m4-institutions-accounts-catalogs.md:652)، مع أن FR-ACC-006 يحيل إليه (السطر 142).</w:t>
      </w:r>
    </w:p>
    <w:p>
      <w:pPr>
        <w:pStyle w:val="ListParagraph"/>
        <w:numPr>
          <w:ilvl w:val="0"/>
          <w:numId w:val="3"/>
        </w:numPr>
        <w:bidi/>
        <w:spacing w:after="70" w:before="0" w:line="300"/>
      </w:pPr>
      <w:r>
        <w:rPr>
          <w:rFonts w:ascii="Arial" w:cs="Arial" w:eastAsia="Arial" w:hAnsi="Arial"/>
          <w:b w:val="false"/>
          <w:bCs w:val="false"/>
          <w:sz w:val="21"/>
          <w:szCs w:val="21"/>
          <w:rtl/>
        </w:rPr>
        <w:t xml:space="preserve">معيار قبول FR-PTY-017 يستعمل أدوار المالك والكفيل (docs/10-detailed-analysis/10-m0-m1-platform-organization.md:207)، وهي من S1-ب وS2، فلا يُختبر كاملًا في S1. وكذلك معيار FR-PTY-022 (السطر 212) يحتاج كفالة من S2.</w:t>
      </w:r>
    </w:p>
    <w:p>
      <w:pPr>
        <w:pStyle w:val="ListParagraph"/>
        <w:numPr>
          <w:ilvl w:val="0"/>
          <w:numId w:val="3"/>
        </w:numPr>
        <w:bidi/>
        <w:spacing w:after="70" w:before="0" w:line="300"/>
      </w:pPr>
      <w:r>
        <w:rPr>
          <w:rFonts w:ascii="Arial" w:cs="Arial" w:eastAsia="Arial" w:hAnsi="Arial"/>
          <w:b w:val="false"/>
          <w:bCs w:val="false"/>
          <w:sz w:val="21"/>
          <w:szCs w:val="21"/>
          <w:rtl/>
        </w:rPr>
        <w:t xml:space="preserve">FR-ACC-022 مصنّف S1 (docs/10-detailed-analysis/11-m2-m4-institutions-accounts-catalogs.md:158)، وصفه نفسه يقول إنه لا يعمل قبل بيانات S1-ب.</w:t>
      </w:r>
    </w:p>
    <w:p>
      <w:pPr>
        <w:bidi/>
        <w:spacing w:after="60" w:before="0"/>
      </w:pPr>
    </w:p>
    <w:p>
      <w:pPr>
        <w:pStyle w:val="Heading1"/>
        <w:bidi/>
      </w:pPr>
      <w:bookmarkStart w:name="_sec24" w:id="24"/>
      <w:r>
        <w:rPr>
          <w:rFonts w:ascii="Arial" w:cs="Arial" w:eastAsia="Arial" w:hAnsi="Arial"/>
          <w:b/>
          <w:bCs/>
          <w:color w:val="1F3A5F"/>
          <w:sz w:val="32"/>
          <w:szCs w:val="32"/>
          <w:rtl/>
        </w:rPr>
        <w:t xml:space="preserve">8. التتبع</w:t>
      </w:r>
      <w:bookmarkEnd w:id="24"/>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1044"/>
        <w:gridCol w:w="1856"/>
        <w:gridCol w:w="6964"/>
      </w:tblGrid>
      <w:tr>
        <w:trPr>
          <w:cantSplit/>
          <w:tblHeader/>
        </w:trPr>
        <w:tc>
          <w:tcPr>
            <w:tcW w:type="dxa" w:w="1044"/>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البند في هذه الوثيقة</w:t>
            </w:r>
          </w:p>
        </w:tc>
        <w:tc>
          <w:tcPr>
            <w:tcW w:type="dxa" w:w="1856"/>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المتطلب أو القاعدة أو القرار</w:t>
            </w:r>
          </w:p>
        </w:tc>
        <w:tc>
          <w:tcPr>
            <w:tcW w:type="dxa" w:w="6964"/>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المصدر</w:t>
            </w:r>
          </w:p>
        </w:tc>
      </w:tr>
      <w:tr>
        <w:trPr>
          <w:cantSplit/>
        </w:trPr>
        <w:tc>
          <w:tcPr>
            <w:tcW w:type="dxa" w:w="10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§2.1</w:t>
            </w:r>
          </w:p>
        </w:tc>
        <w:tc>
          <w:tcPr>
            <w:tcW w:type="dxa" w:w="185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السيناريوهات القائمة</w:t>
            </w:r>
          </w:p>
        </w:tc>
        <w:tc>
          <w:tcPr>
            <w:tcW w:type="dxa" w:w="696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docs/10-detailed-analysis/10-m0-m1-platform-organization.md:646-698؛ docs/10-detailed-analysis/11-m2-m4-institutions-accounts-catalogs.md:644-664؛ docs/10-detailed-analysis/13-m6-workflow-engine-notifications.md:781-794</w:t>
            </w:r>
          </w:p>
        </w:tc>
      </w:tr>
      <w:tr>
        <w:trPr>
          <w:cantSplit/>
        </w:trPr>
        <w:tc>
          <w:tcPr>
            <w:tcW w:type="dxa" w:w="10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§3.1</w:t>
            </w:r>
          </w:p>
        </w:tc>
        <w:tc>
          <w:tcPr>
            <w:tcW w:type="dxa" w:w="185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FR-PLT-001 إلى FR-PLT-046</w:t>
            </w:r>
          </w:p>
        </w:tc>
        <w:tc>
          <w:tcPr>
            <w:tcW w:type="dxa" w:w="696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docs/10-detailed-analysis/10-m0-m1-platform-organization.md:103-148</w:t>
            </w:r>
          </w:p>
        </w:tc>
      </w:tr>
      <w:tr>
        <w:trPr>
          <w:cantSplit/>
        </w:trPr>
        <w:tc>
          <w:tcPr>
            <w:tcW w:type="dxa" w:w="10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§3.2، §3.3</w:t>
            </w:r>
          </w:p>
        </w:tc>
        <w:tc>
          <w:tcPr>
            <w:tcW w:type="dxa" w:w="185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FR-ORG-001 إلى 014، FR-PTY-001 إلى 028</w:t>
            </w:r>
          </w:p>
        </w:tc>
        <w:tc>
          <w:tcPr>
            <w:tcW w:type="dxa" w:w="696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docs/10-detailed-analysis/10-m0-m1-platform-organization.md:155-168، 191-218</w:t>
            </w:r>
          </w:p>
        </w:tc>
      </w:tr>
      <w:tr>
        <w:trPr>
          <w:cantSplit/>
        </w:trPr>
        <w:tc>
          <w:tcPr>
            <w:tcW w:type="dxa" w:w="10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§3.4 إلى §3.6</w:t>
            </w:r>
          </w:p>
        </w:tc>
        <w:tc>
          <w:tcPr>
            <w:tcW w:type="dxa" w:w="185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FR-INS وFR-ACC وFR-CAT في S1</w:t>
            </w:r>
          </w:p>
        </w:tc>
        <w:tc>
          <w:tcPr>
            <w:tcW w:type="dxa" w:w="696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docs/10-detailed-analysis/11-m2-m4-institutions-accounts-catalogs.md:110-189</w:t>
            </w:r>
          </w:p>
        </w:tc>
      </w:tr>
      <w:tr>
        <w:trPr>
          <w:cantSplit/>
        </w:trPr>
        <w:tc>
          <w:tcPr>
            <w:tcW w:type="dxa" w:w="10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§3.7</w:t>
            </w:r>
          </w:p>
        </w:tc>
        <w:tc>
          <w:tcPr>
            <w:tcW w:type="dxa" w:w="185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FR-NTF في S1</w:t>
            </w:r>
          </w:p>
        </w:tc>
        <w:tc>
          <w:tcPr>
            <w:tcW w:type="dxa" w:w="696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docs/10-detailed-analysis/13-m6-workflow-engine-notifications.md:200-223</w:t>
            </w:r>
          </w:p>
        </w:tc>
      </w:tr>
      <w:tr>
        <w:trPr>
          <w:cantSplit/>
        </w:trPr>
        <w:tc>
          <w:tcPr>
            <w:tcW w:type="dxa" w:w="10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w:t>
            </w:r>
          </w:p>
        </w:tc>
        <w:tc>
          <w:tcPr>
            <w:tcW w:type="dxa" w:w="185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شروط خروج S0 وS1</w:t>
            </w:r>
          </w:p>
        </w:tc>
        <w:tc>
          <w:tcPr>
            <w:tcW w:type="dxa" w:w="696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docs/10-detailed-analysis/00-overview-and-cross-cutting.md:194-195</w:t>
            </w:r>
          </w:p>
        </w:tc>
      </w:tr>
      <w:tr>
        <w:trPr>
          <w:cantSplit/>
        </w:trPr>
        <w:tc>
          <w:tcPr>
            <w:tcW w:type="dxa" w:w="10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أعمدة الأتمتة</w:t>
            </w:r>
          </w:p>
        </w:tc>
        <w:tc>
          <w:tcPr>
            <w:tcW w:type="dxa" w:w="185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حالات القاعدة</w:t>
            </w:r>
          </w:p>
        </w:tc>
        <w:tc>
          <w:tcPr>
            <w:tcW w:type="dxa" w:w="696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db/tests/tenant_isolation_tests.sql</w:t>
            </w:r>
          </w:p>
        </w:tc>
      </w:tr>
      <w:tr>
        <w:trPr>
          <w:cantSplit/>
        </w:trPr>
        <w:tc>
          <w:tcPr>
            <w:tcW w:type="dxa" w:w="10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AC-CAT-7</w:t>
            </w:r>
          </w:p>
        </w:tc>
        <w:tc>
          <w:tcPr>
            <w:tcW w:type="dxa" w:w="185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فجوة اختبار ref.Currency</w:t>
            </w:r>
          </w:p>
        </w:tc>
        <w:tc>
          <w:tcPr>
            <w:tcW w:type="dxa" w:w="696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docs/20-database-design.md:493</w:t>
            </w:r>
          </w:p>
        </w:tc>
      </w:tr>
      <w:tr>
        <w:trPr>
          <w:cantSplit/>
        </w:trPr>
        <w:tc>
          <w:tcPr>
            <w:tcW w:type="dxa" w:w="10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DQ-B02-1</w:t>
            </w:r>
          </w:p>
        </w:tc>
        <w:tc>
          <w:tcPr>
            <w:tcW w:type="dxa" w:w="185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BR-PLT-001، DR-03</w:t>
            </w:r>
          </w:p>
        </w:tc>
        <w:tc>
          <w:tcPr>
            <w:tcW w:type="dxa" w:w="696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docs/10-detailed-analysis/10-m0-m1-platform-organization.md:227؛ docs/20-database-design.md:421-428</w:t>
            </w:r>
          </w:p>
        </w:tc>
      </w:tr>
      <w:tr>
        <w:trPr>
          <w:cantSplit/>
        </w:trPr>
        <w:tc>
          <w:tcPr>
            <w:tcW w:type="dxa" w:w="10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DQ-B02-3، DQ-B02-4</w:t>
            </w:r>
          </w:p>
        </w:tc>
        <w:tc>
          <w:tcPr>
            <w:tcW w:type="dxa" w:w="185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O-18 وO-12 (erd_open_items)</w:t>
            </w:r>
          </w:p>
        </w:tc>
        <w:tc>
          <w:tcPr>
            <w:tcW w:type="dxa" w:w="696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tools/dbgen/erd_open_items.py:79-84، 115-120</w:t>
            </w:r>
          </w:p>
        </w:tc>
      </w:tr>
    </w:tbl>
    <w:p>
      <w:pPr>
        <w:bidi/>
        <w:spacing w:after="120" w:before="0"/>
      </w:pPr>
    </w:p>
    <w:sectPr>
      <w:headerReference w:type="default" r:id="rId7"/>
      <w:footerReference w:type="default" r:id="rId8"/>
      <w:pgSz w:w="11906" w:h="16838" w:orient="portrait"/>
      <w:pgMar w:top="1134" w:right="1021" w:bottom="1134" w:left="1021" w:header="500" w:footer="500" w:gutter="0"/>
      <w:pgNumType/>
      <w:bidi/>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bidi/>
      <w:jc w:val="center"/>
    </w:pPr>
    <w:r>
      <w:rPr>
        <w:rFonts w:ascii="Arial" w:cs="Arial" w:eastAsia="Arial" w:hAnsi="Arial"/>
        <w:color w:val="5B6670"/>
        <w:sz w:val="17"/>
        <w:szCs w:val="17"/>
        <w:rtl/>
      </w:rPr>
      <w:t xml:space="preserve">صفحة </w:t>
    </w:r>
    <w:r>
      <w:rPr>
        <w:rFonts w:ascii="Arial" w:cs="Arial" w:eastAsia="Arial" w:hAnsi="Arial"/>
        <w:color w:val="5B6670"/>
        <w:sz w:val="17"/>
        <w:szCs w:val="17"/>
        <w:rtl/>
      </w:rPr>
      <w:fldChar w:fldCharType="begin"/>
      <w:instrText xml:space="preserve">PAGE</w:instrText>
      <w:fldChar w:fldCharType="separate"/>
      <w:fldChar w:fldCharType="end"/>
    </w:r>
    <w:r>
      <w:rPr>
        <w:rFonts w:ascii="Arial" w:cs="Arial" w:eastAsia="Arial" w:hAnsi="Arial"/>
        <w:color w:val="5B6670"/>
        <w:sz w:val="17"/>
        <w:szCs w:val="17"/>
        <w:rtl/>
      </w:rPr>
      <w:t xml:space="preserve"> من </w:t>
    </w:r>
    <w:r>
      <w:rPr>
        <w:rFonts w:ascii="Arial" w:cs="Arial" w:eastAsia="Arial" w:hAnsi="Arial"/>
        <w:color w:val="5B6670"/>
        <w:sz w:val="17"/>
        <w:szCs w:val="17"/>
        <w:rtl/>
      </w:rPr>
      <w:fldChar w:fldCharType="begin"/>
      <w:instrText xml:space="preserve">NUMPAGES</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BFC9D6" w:sz="4" w:space="4"/>
      </w:pBdr>
      <w:bidi/>
      <w:spacing w:after="0"/>
    </w:pPr>
    <w:r>
      <w:rPr>
        <w:rFonts w:ascii="Arial" w:cs="Arial" w:eastAsia="Arial" w:hAnsi="Arial"/>
        <w:color w:val="5B6670"/>
        <w:sz w:val="17"/>
        <w:szCs w:val="17"/>
        <w:rtl/>
      </w:rPr>
      <w:t xml:space="preserve">DOC-B02 · BankFas · مستندات الجاهزية P0 · 0.1 مسودة</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574" w:hanging="284"/>
      </w:pPr>
    </w:lvl>
    <w:lvl w:ilvl="1" w15:tentative="1">
      <w:start w:val="1"/>
      <w:numFmt w:val="bullet"/>
      <w:lvlText w:val="–"/>
      <w:lvlJc w:val="left"/>
      <w:pPr>
        <w:ind w:left="1028" w:hanging="284"/>
      </w:pPr>
    </w:lvl>
    <w:lvl w:ilvl="2" w15:tentative="1">
      <w:start w:val="1"/>
      <w:numFmt w:val="bullet"/>
      <w:lvlText w:val="·"/>
      <w:lvlJc w:val="left"/>
      <w:pPr>
        <w:ind w:left="1482" w:hanging="284"/>
      </w:pPr>
    </w:lvl>
    <w:lvl w:ilvl="3" w15:tentative="1">
      <w:start w:val="1"/>
      <w:numFmt w:val="bullet"/>
      <w:lvlText w:val="·"/>
      <w:lvlJc w:val="left"/>
      <w:pPr>
        <w:ind w:left="1936" w:hanging="284"/>
      </w:pPr>
    </w:lvl>
  </w:abstractNum>
  <w:abstractNum w:abstractNumId="3" w15:restartNumberingAfterBreak="0">
    <w:multiLevelType w:val="hybridMultilevel"/>
    <w:lvl w:ilvl="0" w15:tentative="1">
      <w:start w:val="1"/>
      <w:numFmt w:val="decimal"/>
      <w:lvlText w:val="%1."/>
      <w:lvlJc w:val="left"/>
      <w:pPr>
        <w:ind w:left="574" w:hanging="340"/>
      </w:pPr>
    </w:lvl>
    <w:lvl w:ilvl="1" w15:tentative="1">
      <w:start w:val="1"/>
      <w:numFmt w:val="decimal"/>
      <w:lvlText w:val="%2."/>
      <w:lvlJc w:val="left"/>
      <w:pPr>
        <w:ind w:left="1028" w:hanging="340"/>
      </w:pPr>
    </w:lvl>
    <w:lvl w:ilvl="2" w15:tentative="1">
      <w:start w:val="1"/>
      <w:numFmt w:val="decimal"/>
      <w:lvlText w:val="%3."/>
      <w:lvlJc w:val="left"/>
      <w:pPr>
        <w:ind w:left="1482" w:hanging="340"/>
      </w:pPr>
    </w:lvl>
  </w:abstractNum>
  <w:num w:numId="1">
    <w:abstractNumId w:val="1"/>
    <w:lvlOverride w:ilvl="0">
      <w:startOverride w:val="1"/>
    </w:lvlOverride>
  </w:num>
  <w:num w:numId="2">
    <w:abstractNumId w:val="2"/>
    <w:lvlOverride w:ilvl="0">
      <w:startOverride w:val="1"/>
    </w:lvlOverride>
  </w:num>
  <w:num w:numId="3">
    <w:abstractNumId w:val="3"/>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Arial" w:cs="Arial" w:eastAsia="Arial" w:hAnsi="Arial"/>
        <w:sz w:val="21"/>
        <w:szCs w:val="21"/>
        <w:rtl/>
        <w:lang w:val="ar-SA" w:bidi="ar-SA"/>
      </w:rPr>
    </w:rPrDefault>
    <w:pPrDefault>
      <w:pPr>
        <w:bidi/>
      </w:pPr>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Title">
    <w:name w:val="Title"/>
    <w:basedOn w:val="Normal"/>
    <w:next w:val="Normal"/>
    <w:qFormat/>
    <w:pPr>
      <w:bidi/>
      <w:spacing w:after="160" w:before="0"/>
    </w:pPr>
    <w:rPr>
      <w:b/>
      <w:bCs/>
      <w:color w:val="1F3A5F"/>
      <w:sz w:val="48"/>
      <w:szCs w:val="48"/>
    </w:rPr>
  </w:style>
  <w:style w:type="paragraph" w:styleId="Heading1">
    <w:name w:val="heading 1"/>
    <w:basedOn w:val="Normal"/>
    <w:next w:val="Normal"/>
    <w:qFormat/>
    <w:pPr>
      <w:keepNext/>
      <w:pBdr>
        <w:bottom w:val="single" w:color="1F3A5F" w:sz="8" w:space="3"/>
      </w:pBdr>
      <w:bidi/>
      <w:spacing w:after="140" w:before="380"/>
      <w:outlineLvl w:val="0"/>
    </w:pPr>
    <w:rPr>
      <w:b/>
      <w:bCs/>
      <w:color w:val="1F3A5F"/>
      <w:sz w:val="32"/>
      <w:szCs w:val="32"/>
    </w:rPr>
  </w:style>
  <w:style w:type="paragraph" w:styleId="Heading2">
    <w:name w:val="heading 2"/>
    <w:basedOn w:val="Normal"/>
    <w:next w:val="Normal"/>
    <w:qFormat/>
    <w:pPr>
      <w:keepNext/>
      <w:bidi/>
      <w:spacing w:after="100" w:before="260"/>
      <w:outlineLvl w:val="1"/>
    </w:pPr>
    <w:rPr>
      <w:b/>
      <w:bCs/>
      <w:color w:val="2B5C8A"/>
      <w:sz w:val="26"/>
      <w:szCs w:val="26"/>
    </w:rPr>
  </w:style>
  <w:style w:type="paragraph" w:styleId="Heading3">
    <w:name w:val="heading 3"/>
    <w:basedOn w:val="Normal"/>
    <w:next w:val="Normal"/>
    <w:qFormat/>
    <w:pPr>
      <w:keepNext/>
      <w:bidi/>
      <w:spacing w:after="80" w:before="200"/>
      <w:outlineLvl w:val="2"/>
    </w:pPr>
    <w:rPr>
      <w:b/>
      <w:bCs/>
      <w:color w:val="2B5C8A"/>
      <w:sz w:val="23"/>
      <w:szCs w:val="23"/>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footer" Target="footer1.xml"/><Relationship Id="rId9"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DOC-B02 — سجل سيناريوهات القبول للشريحتين S0 وS1</dc:title>
  <dc:creator>Claude</dc:creator>
  <dc:description>BankFas database design document</dc:description>
  <cp:lastModifiedBy>Un-named</cp:lastModifiedBy>
  <cp:revision>1</cp:revision>
  <dcterms:created xsi:type="dcterms:W3CDTF">2026-10-20T15:52:04.015Z</dcterms:created>
  <dcterms:modified xsi:type="dcterms:W3CDTF">2026-10-20T15:52:04.016Z</dcterms:modified>
</cp:coreProperties>
</file>

<file path=docProps/custom.xml><?xml version="1.0" encoding="utf-8"?>
<Properties xmlns="http://schemas.openxmlformats.org/officeDocument/2006/custom-properties" xmlns:vt="http://schemas.openxmlformats.org/officeDocument/2006/docPropsVTypes"/>
</file>