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DOC-B03 — مواصفة المتطلبات غير الوظيفية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الأداء والتزامن (NFR-PERF)</w:t>
        </w:r>
      </w:hyperlink>
    </w:p>
    <w:p>
      <w:pPr>
        <w:bidi/>
        <w:spacing w:after="50" w:before="0"/>
        <w:ind w:left="0"/>
      </w:pPr>
      <w:hyperlink w:history="1" w:anchor="_sec3">
        <w:r>
          <w:rPr>
            <w:rFonts w:ascii="Arial" w:cs="Arial" w:eastAsia="Arial" w:hAnsi="Arial"/>
            <w:b/>
            <w:bCs/>
            <w:color w:val="1F3A5F"/>
            <w:sz w:val="20"/>
            <w:szCs w:val="20"/>
            <w:rtl/>
          </w:rPr>
          <w:t xml:space="preserve">3. التوفر (NFR-AVL)</w:t>
        </w:r>
      </w:hyperlink>
    </w:p>
    <w:p>
      <w:pPr>
        <w:bidi/>
        <w:spacing w:after="50" w:before="0"/>
        <w:ind w:left="0"/>
      </w:pPr>
      <w:hyperlink w:history="1" w:anchor="_sec4">
        <w:r>
          <w:rPr>
            <w:rFonts w:ascii="Arial" w:cs="Arial" w:eastAsia="Arial" w:hAnsi="Arial"/>
            <w:b/>
            <w:bCs/>
            <w:color w:val="1F3A5F"/>
            <w:sz w:val="20"/>
            <w:szCs w:val="20"/>
            <w:rtl/>
          </w:rPr>
          <w:t xml:space="preserve">4. التعافي (NFR-REC)</w:t>
        </w:r>
      </w:hyperlink>
    </w:p>
    <w:p>
      <w:pPr>
        <w:bidi/>
        <w:spacing w:after="50" w:before="0"/>
        <w:ind w:left="0"/>
      </w:pPr>
      <w:hyperlink w:history="1" w:anchor="_sec5">
        <w:r>
          <w:rPr>
            <w:rFonts w:ascii="Arial" w:cs="Arial" w:eastAsia="Arial" w:hAnsi="Arial"/>
            <w:b/>
            <w:bCs/>
            <w:color w:val="1F3A5F"/>
            <w:sz w:val="20"/>
            <w:szCs w:val="20"/>
            <w:rtl/>
          </w:rPr>
          <w:t xml:space="preserve">5. الأمن (NFR-SEC، ويحل محل DOC-S14)</w:t>
        </w:r>
      </w:hyperlink>
    </w:p>
    <w:p>
      <w:pPr>
        <w:bidi/>
        <w:spacing w:after="50" w:before="0"/>
        <w:ind w:left="0"/>
      </w:pPr>
      <w:hyperlink w:history="1" w:anchor="_sec6">
        <w:r>
          <w:rPr>
            <w:rFonts w:ascii="Arial" w:cs="Arial" w:eastAsia="Arial" w:hAnsi="Arial"/>
            <w:b/>
            <w:bCs/>
            <w:color w:val="1F3A5F"/>
            <w:sz w:val="20"/>
            <w:szCs w:val="20"/>
            <w:rtl/>
          </w:rPr>
          <w:t xml:space="preserve">6. قابلية التوسع (NFR-SCL)</w:t>
        </w:r>
      </w:hyperlink>
    </w:p>
    <w:p>
      <w:pPr>
        <w:bidi/>
        <w:spacing w:after="50" w:before="0"/>
        <w:ind w:left="0"/>
      </w:pPr>
      <w:hyperlink w:history="1" w:anchor="_sec7">
        <w:r>
          <w:rPr>
            <w:rFonts w:ascii="Arial" w:cs="Arial" w:eastAsia="Arial" w:hAnsi="Arial"/>
            <w:b/>
            <w:bCs/>
            <w:color w:val="1F3A5F"/>
            <w:sz w:val="20"/>
            <w:szCs w:val="20"/>
            <w:rtl/>
          </w:rPr>
          <w:t xml:space="preserve">7. إمكانية الوصول (NFR-ACC)</w:t>
        </w:r>
      </w:hyperlink>
    </w:p>
    <w:p>
      <w:pPr>
        <w:bidi/>
        <w:spacing w:after="50" w:before="0"/>
        <w:ind w:left="0"/>
      </w:pPr>
      <w:hyperlink w:history="1" w:anchor="_sec8">
        <w:r>
          <w:rPr>
            <w:rFonts w:ascii="Arial" w:cs="Arial" w:eastAsia="Arial" w:hAnsi="Arial"/>
            <w:b/>
            <w:bCs/>
            <w:color w:val="1F3A5F"/>
            <w:sz w:val="20"/>
            <w:szCs w:val="20"/>
            <w:rtl/>
          </w:rPr>
          <w:t xml:space="preserve">8. التشغيل (NFR-OPS)</w:t>
        </w:r>
      </w:hyperlink>
    </w:p>
    <w:p>
      <w:pPr>
        <w:bidi/>
        <w:spacing w:after="50" w:before="0"/>
        <w:ind w:left="0"/>
      </w:pPr>
      <w:hyperlink w:history="1" w:anchor="_sec9">
        <w:r>
          <w:rPr>
            <w:rFonts w:ascii="Arial" w:cs="Arial" w:eastAsia="Arial" w:hAnsi="Arial"/>
            <w:b/>
            <w:bCs/>
            <w:color w:val="1F3A5F"/>
            <w:sz w:val="20"/>
            <w:szCs w:val="20"/>
            <w:rtl/>
          </w:rPr>
          <w:t xml:space="preserve">9. اللغة والتوطين (NFR-I18N)</w:t>
        </w:r>
      </w:hyperlink>
    </w:p>
    <w:p>
      <w:pPr>
        <w:bidi/>
        <w:spacing w:after="50" w:before="0"/>
        <w:ind w:left="0"/>
      </w:pPr>
      <w:hyperlink w:history="1" w:anchor="_sec10">
        <w:r>
          <w:rPr>
            <w:rFonts w:ascii="Arial" w:cs="Arial" w:eastAsia="Arial" w:hAnsi="Arial"/>
            <w:b/>
            <w:bCs/>
            <w:color w:val="1F3A5F"/>
            <w:sz w:val="20"/>
            <w:szCs w:val="20"/>
            <w:rtl/>
          </w:rPr>
          <w:t xml:space="preserve">10. التحقق بحسب الشريحة</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1"/>
        <w:bidi/>
      </w:pPr>
      <w:bookmarkStart w:name="_sec2" w:id="2"/>
      <w:r>
        <w:rPr>
          <w:rFonts w:ascii="Arial" w:cs="Arial" w:eastAsia="Arial" w:hAnsi="Arial"/>
          <w:b/>
          <w:bCs/>
          <w:color w:val="1F3A5F"/>
          <w:sz w:val="32"/>
          <w:szCs w:val="32"/>
          <w:rtl/>
        </w:rPr>
        <w:t xml:space="preserve">2. الأداء والتزامن (NFR-PERF)</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1"/>
        <w:bidi/>
      </w:pPr>
      <w:bookmarkStart w:name="_sec3" w:id="3"/>
      <w:r>
        <w:rPr>
          <w:rFonts w:ascii="Arial" w:cs="Arial" w:eastAsia="Arial" w:hAnsi="Arial"/>
          <w:b/>
          <w:bCs/>
          <w:color w:val="1F3A5F"/>
          <w:sz w:val="32"/>
          <w:szCs w:val="32"/>
          <w:rtl/>
        </w:rPr>
        <w:t xml:space="preserve">3. التوفر (NFR-AVL)</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1"/>
        <w:bidi/>
      </w:pPr>
      <w:bookmarkStart w:name="_sec4" w:id="4"/>
      <w:r>
        <w:rPr>
          <w:rFonts w:ascii="Arial" w:cs="Arial" w:eastAsia="Arial" w:hAnsi="Arial"/>
          <w:b/>
          <w:bCs/>
          <w:color w:val="1F3A5F"/>
          <w:sz w:val="32"/>
          <w:szCs w:val="32"/>
          <w:rtl/>
        </w:rPr>
        <w:t xml:space="preserve">4. التعافي (NFR-REC)</w:t>
      </w:r>
      <w:bookmarkEnd w:id="4"/>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1"/>
        <w:bidi/>
      </w:pPr>
      <w:bookmarkStart w:name="_sec5" w:id="5"/>
      <w:r>
        <w:rPr>
          <w:rFonts w:ascii="Arial" w:cs="Arial" w:eastAsia="Arial" w:hAnsi="Arial"/>
          <w:b/>
          <w:bCs/>
          <w:color w:val="1F3A5F"/>
          <w:sz w:val="32"/>
          <w:szCs w:val="32"/>
          <w:rtl/>
        </w:rPr>
        <w:t xml:space="preserve">5. الأمن (NFR-SEC، ويحل محل DOC-S14)</w:t>
      </w:r>
      <w:bookmarkEnd w:id="5"/>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1"/>
        <w:bidi/>
      </w:pPr>
      <w:bookmarkStart w:name="_sec6" w:id="6"/>
      <w:r>
        <w:rPr>
          <w:rFonts w:ascii="Arial" w:cs="Arial" w:eastAsia="Arial" w:hAnsi="Arial"/>
          <w:b/>
          <w:bCs/>
          <w:color w:val="1F3A5F"/>
          <w:sz w:val="32"/>
          <w:szCs w:val="32"/>
          <w:rtl/>
        </w:rPr>
        <w:t xml:space="preserve">6. قابلية التوسع (NFR-SCL)</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7. إمكانية الوصول (NFR-ACC)</w:t>
      </w:r>
      <w:bookmarkEnd w:id="7"/>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التشغيل (NFR-OPS)</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اللغة والتوطين (NFR-I18N)</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10. التحقق بحسب الشريحة</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3"/>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3"/>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3"/>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9685153b6c403ece7a2b9fb221acc7809d41d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DOC-B03 — مواصفة المتطلبات غير الوظيفية</dc:title>
  <dc:creator>Claude</dc:creator>
  <dc:description>BankFas database design document</dc:description>
  <cp:lastModifiedBy>Un-named</cp:lastModifiedBy>
  <cp:revision>1</cp:revision>
  <dcterms:created xsi:type="dcterms:W3CDTF">2026-10-20T15:52:07.672Z</dcterms:created>
  <dcterms:modified xsi:type="dcterms:W3CDTF">2026-10-20T15:52:07.672Z</dcterms:modified>
</cp:coreProperties>
</file>

<file path=docProps/custom.xml><?xml version="1.0" encoding="utf-8"?>
<Properties xmlns="http://schemas.openxmlformats.org/officeDocument/2006/custom-properties" xmlns:vt="http://schemas.openxmlformats.org/officeDocument/2006/docPropsVTypes"/>
</file>