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وFO، والتعليق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B7d).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DQ-F14-5: البند القديم TRANSFERRED يشير بالجديد في اللاحق، وحركة TRANSFER بسبب (B6)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2007"/>
        <w:gridCol w:w="3390"/>
        <w:gridCol w:w="955"/>
        <w:gridCol w:w="2383"/>
      </w:tblGrid>
      <w:tr>
        <w:trPr>
          <w:cantSplit/>
          <w:tblHeader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في db/seed/102_permissions.sql (139 صلاحية)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حجز ولا زيادة؛ التحويل مسموح مع تنبيه TM لأن البنك قد أصدر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العقدة بالرمز نفسه في اللاحق بحركة مدققة؛ وما لا مقابل له يظهر في R-FAC-03.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B6):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TRANSFERRED يشير ببند في اللاحق نفسه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عبر مفتاحين مركّبين، وحركة TRANSFER بسبب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‎fac.LimitMovement‎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(SR9)؛ ومطابقة الرمز يفحصها التطبيق، والحجز يُفك بسبب SUPERSEDED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NOT_CONFIRMED حتى بدء اللاحق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§2.2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2026-10-20T15:59:02.278Z</dcterms:created>
  <dcterms:modified xsi:type="dcterms:W3CDTF">2026-10-20T15:59:02.278Z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