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وتقييم الموازنة، ADR 0025، والتصنيف الذي يبلغ به البنك، ADR 0026، ومهمة إشعارات الإنذار المبكر، ADR 0027، وقوالب رسائله، ADR 0028؛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CA22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‎docs/adr/0025-budget-statements.md‎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‎docs/adr/0026-lender-ratings.md‎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‎docs/adr/0027-early-warning-job.md‎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‎docs/adr/0028-early-warning-message-templates.md‎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2">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3">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4">
        <w:r>
          <w:rPr>
            <w:rFonts w:ascii="Arial" w:cs="Arial" w:eastAsia="Arial" w:hAnsi="Arial"/>
            <w:b/>
            <w:bCs/>
            <w:color w:val="1F3A5F"/>
            <w:sz w:val="20"/>
            <w:szCs w:val="20"/>
            <w:rtl/>
          </w:rPr>
          <w:t xml:space="preserve">18. التقرير</w:t>
        </w:r>
      </w:hyperlink>
    </w:p>
    <w:p>
      <w:pPr>
        <w:bidi/>
        <w:spacing w:after="50" w:before="0"/>
        <w:ind w:left="0"/>
      </w:pPr>
      <w:hyperlink w:history="1" w:anchor="_sec55">
        <w:r>
          <w:rPr>
            <w:rFonts w:ascii="Arial" w:cs="Arial" w:eastAsia="Arial" w:hAnsi="Arial"/>
            <w:b/>
            <w:bCs/>
            <w:color w:val="1F3A5F"/>
            <w:sz w:val="20"/>
            <w:szCs w:val="20"/>
            <w:rtl/>
          </w:rPr>
          <w:t xml:space="preserve">19. مثال محسوب</w:t>
        </w:r>
      </w:hyperlink>
    </w:p>
    <w:p>
      <w:pPr>
        <w:bidi/>
        <w:spacing w:after="50" w:before="0"/>
        <w:ind w:left="0"/>
      </w:pPr>
      <w:hyperlink w:history="1" w:anchor="_sec56">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7">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8">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9">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60">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61">
        <w:r>
          <w:rPr>
            <w:rFonts w:ascii="Arial" w:cs="Arial" w:eastAsia="Arial" w:hAnsi="Arial"/>
            <w:b/>
            <w:bCs/>
            <w:color w:val="1F3A5F"/>
            <w:sz w:val="20"/>
            <w:szCs w:val="20"/>
            <w:rtl/>
          </w:rPr>
          <w:t xml:space="preserve">25. حدود معروفة</w:t>
        </w:r>
      </w:hyperlink>
    </w:p>
    <w:p>
      <w:pPr>
        <w:bidi/>
        <w:spacing w:after="50" w:before="0"/>
        <w:ind w:left="0"/>
      </w:pPr>
      <w:hyperlink w:history="1" w:anchor="_sec62">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لآخر تقييم محسوب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إشعارات الإنذار المبكر (ADR 0027):</w:t>
      </w:r>
      <w:r>
        <w:rPr>
          <w:rFonts w:ascii="Arial" w:cs="Arial" w:eastAsia="Arial" w:hAnsi="Arial"/>
          <w:b w:val="false"/>
          <w:bCs w:val="false"/>
          <w:sz w:val="21"/>
          <w:szCs w:val="21"/>
          <w:rtl/>
        </w:rPr>
        <w:t xml:space="preserve"> ترسلها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في 05:20 بتوقيت المشترك، فلا يلزم أن يفتح أحد ملف الجاهزية. يصل الإنذار بكل موعد مرة عند دخوله المدة، ثم عند 90 و30 و7 أيام، ومرة أخرى في المرحلة نفسها إن ساءت جاهزيته من الأصفر إلى الأحمر. والأحمر بشدة عالية. ولا يتكرر الإنذار بإعادة التشغيل، والمهمة بعد توقف أيامًا ترسل المرحلة الحالية وحدها. ويُكتب كل إنذار في </w:t>
      </w:r>
      <w:r>
        <w:rPr>
          <w:rFonts w:ascii="Courier New" w:cs="Courier New" w:eastAsia="Courier New" w:hAnsi="Courier New"/>
          <w:b w:val="false"/>
          <w:bCs w:val="false"/>
          <w:color w:val="1F2937"/>
          <w:sz w:val="18"/>
          <w:szCs w:val="18"/>
          <w:shd w:fill="F1F3F5" w:color="auto" w:val="clear"/>
          <w:rtl/>
        </w:rPr>
        <w:t xml:space="preserve">‎fin.EarlyWarningAlert‎</w:t>
      </w:r>
      <w:r>
        <w:rPr>
          <w:rFonts w:ascii="Arial" w:cs="Arial" w:eastAsia="Arial" w:hAnsi="Arial"/>
          <w:b w:val="false"/>
          <w:bCs w:val="false"/>
          <w:sz w:val="21"/>
          <w:szCs w:val="21"/>
          <w:rtl/>
        </w:rPr>
        <w:t xml:space="preserve"> مع طلب إشعار في صندوق Outbox في معاملة واحدة، فيحل منشئ الإشعارات مستلميه (TM وFO وFA ضمن نطاق الشركة).</w:t>
      </w:r>
    </w:p>
    <w:p>
      <w:pPr>
        <w:pStyle w:val="ListParagraph"/>
        <w:numPr>
          <w:ilvl w:val="0"/>
          <w:numId w:val="3"/>
        </w:numPr>
        <w:bidi/>
        <w:spacing w:after="70" w:before="0" w:line="300"/>
      </w:pPr>
      <w:r>
        <w:rPr>
          <w:rFonts w:ascii="Arial" w:cs="Arial" w:eastAsia="Arial" w:hAnsi="Arial"/>
          <w:b/>
          <w:bCs/>
          <w:sz w:val="21"/>
          <w:szCs w:val="21"/>
          <w:rtl/>
        </w:rPr>
        <w:t xml:space="preserve">رسائل الإنذار (ADR 0028):</w:t>
      </w:r>
      <w:r>
        <w:rPr>
          <w:rFonts w:ascii="Arial" w:cs="Arial" w:eastAsia="Arial" w:hAnsi="Arial"/>
          <w:b w:val="false"/>
          <w:bCs w:val="false"/>
          <w:sz w:val="21"/>
          <w:szCs w:val="21"/>
          <w:rtl/>
        </w:rPr>
        <w:t xml:space="preserve"> حدثان: الأحمر </w:t>
      </w:r>
      <w:r>
        <w:rPr>
          <w:rFonts w:ascii="Courier New" w:cs="Courier New" w:eastAsia="Courier New" w:hAnsi="Courier New"/>
          <w:b w:val="false"/>
          <w:bCs w:val="false"/>
          <w:color w:val="1F2937"/>
          <w:sz w:val="18"/>
          <w:szCs w:val="18"/>
          <w:shd w:fill="F1F3F5" w:color="auto" w:val="clear"/>
          <w:rtl/>
        </w:rPr>
        <w:t xml:space="preserve">‎FIN.READINESS_RED‎</w:t>
      </w:r>
      <w:r>
        <w:rPr>
          <w:rFonts w:ascii="Arial" w:cs="Arial" w:eastAsia="Arial" w:hAnsi="Arial"/>
          <w:b w:val="false"/>
          <w:bCs w:val="false"/>
          <w:sz w:val="21"/>
          <w:szCs w:val="21"/>
          <w:rtl/>
        </w:rPr>
        <w:t xml:space="preserve"> بشدة عالية وإلزامي ويصل بالبريد أيضًا، والأصفر </w:t>
      </w:r>
      <w:r>
        <w:rPr>
          <w:rFonts w:ascii="Courier New" w:cs="Courier New" w:eastAsia="Courier New" w:hAnsi="Courier New"/>
          <w:b w:val="false"/>
          <w:bCs w:val="false"/>
          <w:color w:val="1F2937"/>
          <w:sz w:val="18"/>
          <w:szCs w:val="18"/>
          <w:shd w:fill="F1F3F5" w:color="auto" w:val="clear"/>
          <w:rtl/>
        </w:rPr>
        <w:t xml:space="preserve">‎FIN.READINESS_AMBER‎</w:t>
      </w:r>
      <w:r>
        <w:rPr>
          <w:rFonts w:ascii="Arial" w:cs="Arial" w:eastAsia="Arial" w:hAnsi="Arial"/>
          <w:b w:val="false"/>
          <w:bCs w:val="false"/>
          <w:sz w:val="21"/>
          <w:szCs w:val="21"/>
          <w:rtl/>
        </w:rPr>
        <w:t xml:space="preserve"> في التطبيق ويجوز جمعه في الملخص اليومي. والرسالة بلغة المستلم، العربية أو الإنجليزية. تذكر نوع الموعد ومرجعه وتاريخه والأيام الباقية، وسبب الجاهزية (أول قاعدة حددتها)، ودرجة التقييم وسيولته. ورسالة البريد تضيف ثلاث خطوات قبل الموعد، وتنبّه إلى أن الدرجة معايرة النظام الداخلية لا تصنيف جهة التمويل. والقوالب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w:t>
      </w:r>
    </w:p>
    <w:p>
      <w:pPr>
        <w:bidi/>
        <w:spacing w:after="60" w:before="0"/>
      </w:pPr>
    </w:p>
    <w:p>
      <w:pPr>
        <w:pStyle w:val="Heading2"/>
        <w:bidi/>
      </w:pPr>
      <w:bookmarkStart w:name="_sec50" w:id="50"/>
      <w:r>
        <w:rPr>
          <w:rFonts w:ascii="Arial" w:cs="Arial" w:eastAsia="Arial" w:hAnsi="Arial"/>
          <w:b/>
          <w:bCs/>
          <w:color w:val="2B5C8A"/>
          <w:sz w:val="26"/>
          <w:szCs w:val="26"/>
          <w:rtl/>
        </w:rPr>
        <w:t xml:space="preserve">15.3 تقييم القوائم التقديرية (الموازنة) قبل تنفيذ الخطة (ADR 0025)</w:t>
      </w:r>
      <w:bookmarkEnd w:id="50"/>
    </w:p>
    <w:p>
      <w:pPr>
        <w:bidi/>
        <w:spacing w:after="110" w:before="0" w:line="312"/>
      </w:pPr>
      <w:r>
        <w:rPr>
          <w:rFonts w:ascii="Arial" w:cs="Arial" w:eastAsia="Arial" w:hAnsi="Arial"/>
          <w:b w:val="false"/>
          <w:bCs w:val="false"/>
          <w:sz w:val="21"/>
          <w:szCs w:val="21"/>
          <w:rtl/>
        </w:rPr>
        <w:t xml:space="preserve">تُدخل الشركة قوائم السنة القادمة المقدّرة قائمةً </w:t>
      </w:r>
      <w:r>
        <w:rPr>
          <w:rFonts w:ascii="Arial" w:cs="Arial" w:eastAsia="Arial" w:hAnsi="Arial"/>
          <w:b/>
          <w:bCs/>
          <w:sz w:val="21"/>
          <w:szCs w:val="21"/>
          <w:rtl/>
        </w:rPr>
        <w:t xml:space="preserve">بطبيعة «موازنة»</w:t>
      </w:r>
      <w:r>
        <w:rPr>
          <w:rFonts w:ascii="Arial" w:cs="Arial" w:eastAsia="Arial" w:hAnsi="Arial"/>
          <w:b w:val="false"/>
          <w:bCs w:val="false"/>
          <w:sz w:val="21"/>
          <w:szCs w:val="21"/>
          <w:rtl/>
        </w:rPr>
        <w:t xml:space="preserve">: موازنة، أو خطة توسع، أو تمويلًا جديدًا. وتعمل بالقواعد الآتية:</w:t>
      </w:r>
    </w:p>
    <w:p>
      <w:pPr>
        <w:pStyle w:val="ListParagraph"/>
        <w:numPr>
          <w:ilvl w:val="0"/>
          <w:numId w:val="3"/>
        </w:numPr>
        <w:bidi/>
        <w:spacing w:after="70" w:before="0" w:line="300"/>
      </w:pPr>
      <w:r>
        <w:rPr>
          <w:rFonts w:ascii="Arial" w:cs="Arial" w:eastAsia="Arial" w:hAnsi="Arial"/>
          <w:b/>
          <w:bCs/>
          <w:sz w:val="21"/>
          <w:szCs w:val="21"/>
          <w:rtl/>
        </w:rPr>
        <w:t xml:space="preserve">إعداد الإدارة، وتبقى مسودة:</w:t>
      </w:r>
      <w:r>
        <w:rPr>
          <w:rFonts w:ascii="Arial" w:cs="Arial" w:eastAsia="Arial" w:hAnsi="Arial"/>
          <w:b w:val="false"/>
          <w:bCs w:val="false"/>
          <w:sz w:val="21"/>
          <w:szCs w:val="21"/>
          <w:rtl/>
        </w:rPr>
        <w:t xml:space="preserve"> لا رأي مراجع لها، ولا تُقدَّم ولا تُعتمد. فلا تدخل في اختبار تعهد، ولا في التوحيد، ولا في التحويلات، ولا تكون قائمة مقارنة.</w:t>
      </w:r>
    </w:p>
    <w:p>
      <w:pPr>
        <w:pStyle w:val="ListParagraph"/>
        <w:numPr>
          <w:ilvl w:val="0"/>
          <w:numId w:val="3"/>
        </w:numPr>
        <w:bidi/>
        <w:spacing w:after="70" w:before="0" w:line="300"/>
      </w:pPr>
      <w:r>
        <w:rPr>
          <w:rFonts w:ascii="Arial" w:cs="Arial" w:eastAsia="Arial" w:hAnsi="Arial"/>
          <w:b/>
          <w:bCs/>
          <w:sz w:val="21"/>
          <w:szCs w:val="21"/>
          <w:rtl/>
        </w:rPr>
        <w:t xml:space="preserve">سلسلة إصدارات منفصلة:</w:t>
      </w:r>
      <w:r>
        <w:rPr>
          <w:rFonts w:ascii="Arial" w:cs="Arial" w:eastAsia="Arial" w:hAnsi="Arial"/>
          <w:b w:val="false"/>
          <w:bCs w:val="false"/>
          <w:sz w:val="21"/>
          <w:szCs w:val="21"/>
          <w:rtl/>
        </w:rPr>
        <w:t xml:space="preserve"> موازنة 2026 لا تتعارض مع القائمة الفعلية لعام 2026 حين تُدخل لاحقًا.</w:t>
      </w:r>
    </w:p>
    <w:p>
      <w:pPr>
        <w:pStyle w:val="ListParagraph"/>
        <w:numPr>
          <w:ilvl w:val="0"/>
          <w:numId w:val="3"/>
        </w:numPr>
        <w:bidi/>
        <w:spacing w:after="70" w:before="0" w:line="300"/>
      </w:pPr>
      <w:r>
        <w:rPr>
          <w:rFonts w:ascii="Arial" w:cs="Arial" w:eastAsia="Arial" w:hAnsi="Arial"/>
          <w:b/>
          <w:bCs/>
          <w:sz w:val="21"/>
          <w:szCs w:val="21"/>
          <w:rtl/>
        </w:rPr>
        <w:t xml:space="preserve">تقييم تجريبي فقط</w:t>
      </w:r>
      <w:r>
        <w:rPr>
          <w:rFonts w:ascii="Arial" w:cs="Arial" w:eastAsia="Arial" w:hAnsi="Arial"/>
          <w:b w:val="false"/>
          <w:bCs w:val="false"/>
          <w:sz w:val="21"/>
          <w:szCs w:val="21"/>
          <w:rtl/>
        </w:rPr>
        <w:t xml:space="preserve">، وقائمة المقارنة فيه قائمة فعلية معتمدة، ويذكر الملخص أنه لموازنة. وتُقرأ بمستوى تأكيد قائمة المقارنة ورأي مراجعها، لأن الموازنة إعداد الإدارة بطبيعتها، ولولا ذلك لظهرت في كل موازنة درجة القائمة السنوية غير المدققة فغطّت أثر الخطة نفسها.</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الموازنة بجانب آخر تقييم لقائمة فعلية سابقة: الدرجة والمجموع والسيولة والنظرة والمخاطر الحرجة، وكم درجة تكسب الخطة أو تخسر، وكل مقياس بجانب نظيره (</w:t>
      </w:r>
      <w:r>
        <w:rPr>
          <w:rFonts w:ascii="Courier New" w:cs="Courier New" w:eastAsia="Courier New" w:hAnsi="Courier New"/>
          <w:b w:val="false"/>
          <w:bCs w:val="false"/>
          <w:color w:val="1F2937"/>
          <w:sz w:val="18"/>
          <w:szCs w:val="18"/>
          <w:shd w:fill="F1F3F5" w:color="auto" w:val="clear"/>
          <w:rtl/>
        </w:rPr>
        <w:t xml:space="preserve">‎fin.v_BudgetComparison‎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‎fin.v_BudgetFactorComparison‎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بدائل الخطة:</w:t>
      </w:r>
      <w:r>
        <w:rPr>
          <w:rFonts w:ascii="Arial" w:cs="Arial" w:eastAsia="Arial" w:hAnsi="Arial"/>
          <w:b w:val="false"/>
          <w:bCs w:val="false"/>
          <w:sz w:val="21"/>
          <w:szCs w:val="21"/>
          <w:rtl/>
        </w:rPr>
        <w:t xml:space="preserve"> قرض أم رأس مال، وأجل قصير أم طويل، تُبنى نسخَ عرض للموازنة (§15.1)، ويُقارن بينها.</w:t>
      </w:r>
    </w:p>
    <w:p>
      <w:pPr>
        <w:pStyle w:val="ListParagraph"/>
        <w:numPr>
          <w:ilvl w:val="0"/>
          <w:numId w:val="3"/>
        </w:numPr>
        <w:bidi/>
        <w:spacing w:after="70" w:before="0" w:line="300"/>
      </w:pPr>
      <w:r>
        <w:rPr>
          <w:rFonts w:ascii="Arial" w:cs="Arial" w:eastAsia="Arial" w:hAnsi="Arial"/>
          <w:b/>
          <w:bCs/>
          <w:sz w:val="21"/>
          <w:szCs w:val="21"/>
          <w:rtl/>
        </w:rPr>
        <w:t xml:space="preserve">لا إنذار مبكر من الموازنة</w:t>
      </w:r>
      <w:r>
        <w:rPr>
          <w:rFonts w:ascii="Arial" w:cs="Arial" w:eastAsia="Arial" w:hAnsi="Arial"/>
          <w:b w:val="false"/>
          <w:bCs w:val="false"/>
          <w:sz w:val="21"/>
          <w:szCs w:val="21"/>
          <w:rtl/>
        </w:rPr>
        <w:t xml:space="preserve">، لأنها تنظر إلى ما بعد المواعيد ولا تخبر عنها.</w:t>
      </w:r>
    </w:p>
    <w:p>
      <w:pPr>
        <w:bidi/>
        <w:spacing w:after="60" w:before="0"/>
      </w:pPr>
    </w:p>
    <w:p>
      <w:pPr>
        <w:pStyle w:val="Heading2"/>
        <w:bidi/>
      </w:pPr>
      <w:bookmarkStart w:name="_sec51" w:id="51"/>
      <w:r>
        <w:rPr>
          <w:rFonts w:ascii="Arial" w:cs="Arial" w:eastAsia="Arial" w:hAnsi="Arial"/>
          <w:b/>
          <w:bCs/>
          <w:color w:val="2B5C8A"/>
          <w:sz w:val="26"/>
          <w:szCs w:val="26"/>
          <w:rtl/>
        </w:rPr>
        <w:t xml:space="preserve">15.4 التصنيف الذي يبلغ به البنك الشركة (ADR 0026)</w:t>
      </w:r>
      <w:bookmarkEnd w:id="51"/>
    </w:p>
    <w:p>
      <w:pPr>
        <w:bidi/>
        <w:spacing w:after="110" w:before="0" w:line="312"/>
      </w:pPr>
      <w:r>
        <w:rPr>
          <w:rFonts w:ascii="Arial" w:cs="Arial" w:eastAsia="Arial" w:hAnsi="Arial"/>
          <w:b w:val="false"/>
          <w:bCs w:val="false"/>
          <w:sz w:val="21"/>
          <w:szCs w:val="21"/>
          <w:rtl/>
        </w:rPr>
        <w:t xml:space="preserve">تسجّل إدارة الخزينة كل تصنيف يبلغها به بنك عن الشركة، بتاريخه ومستنده: درجة البنك بتسميته الداخلية، ومقابلها على سلّم الإحدى والعشرين درجة (يعطيه البنك أو تقابله الخزينة فتُبقي تسميته)، وما ذكره من أسباب. ثم:</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يوضع التصنيف بجانب آخر تقييم محسوب لقائمة فعلية في تاريخه أو قبله، بالفرق بالدرجات واتجاهه: البنك أشد، أو أيسر، أو مثله.</w:t>
      </w:r>
    </w:p>
    <w:p>
      <w:pPr>
        <w:pStyle w:val="ListParagraph"/>
        <w:numPr>
          <w:ilvl w:val="0"/>
          <w:numId w:val="3"/>
        </w:numPr>
        <w:bidi/>
        <w:spacing w:after="70" w:before="0" w:line="300"/>
      </w:pPr>
      <w:r>
        <w:rPr>
          <w:rFonts w:ascii="Arial" w:cs="Arial" w:eastAsia="Arial" w:hAnsi="Arial"/>
          <w:b/>
          <w:bCs/>
          <w:sz w:val="21"/>
          <w:szCs w:val="21"/>
          <w:rtl/>
        </w:rPr>
        <w:t xml:space="preserve">موضع الافتراق:</w:t>
      </w:r>
      <w:r>
        <w:rPr>
          <w:rFonts w:ascii="Arial" w:cs="Arial" w:eastAsia="Arial" w:hAnsi="Arial"/>
          <w:b w:val="false"/>
          <w:bCs w:val="false"/>
          <w:sz w:val="21"/>
          <w:szCs w:val="21"/>
          <w:rtl/>
        </w:rPr>
        <w:t xml:space="preserve"> إن كان البنك أيسر، فالمقاييس التي يدرّجها التقييم أسوأ من درجة البنك. وإن كان أشد، فالتي يدرّجها أفضل منها. ولكل مقياس وزنه وبعده عن درجة البنك، ثم كل تعديل وسقف طبّقه التقييم، لأن البنك قد يزنها بغير وزنها. وهذه قراءة للتقييم أمام درجة واحدة، لا نموذج البنك.</w:t>
      </w:r>
    </w:p>
    <w:p>
      <w:pPr>
        <w:pStyle w:val="ListParagraph"/>
        <w:numPr>
          <w:ilvl w:val="0"/>
          <w:numId w:val="3"/>
        </w:numPr>
        <w:bidi/>
        <w:spacing w:after="70" w:before="0" w:line="300"/>
      </w:pPr>
      <w:r>
        <w:rPr>
          <w:rFonts w:ascii="Arial" w:cs="Arial" w:eastAsia="Arial" w:hAnsi="Arial"/>
          <w:b/>
          <w:bCs/>
          <w:sz w:val="21"/>
          <w:szCs w:val="21"/>
          <w:rtl/>
        </w:rPr>
        <w:t xml:space="preserve">الجاهزية:</w:t>
      </w:r>
      <w:r>
        <w:rPr>
          <w:rFonts w:ascii="Arial" w:cs="Arial" w:eastAsia="Arial" w:hAnsi="Arial"/>
          <w:b w:val="false"/>
          <w:bCs w:val="false"/>
          <w:sz w:val="21"/>
          <w:szCs w:val="21"/>
          <w:rtl/>
        </w:rPr>
        <w:t xml:space="preserve"> تجديد تسهيل بنكٍ آخرُ تصنيفه للشركة B3 فأسوأ أحمر، وأدنى من درجة التقييم بدرجتين فأكثر أصفر.</w:t>
      </w:r>
    </w:p>
    <w:p>
      <w:pPr>
        <w:bidi/>
        <w:spacing w:after="60" w:before="0"/>
      </w:pPr>
    </w:p>
    <w:p>
      <w:pPr>
        <w:pStyle w:val="Heading1"/>
        <w:bidi/>
      </w:pPr>
      <w:bookmarkStart w:name="_sec52" w:id="52"/>
      <w:r>
        <w:rPr>
          <w:rFonts w:ascii="Arial" w:cs="Arial" w:eastAsia="Arial" w:hAnsi="Arial"/>
          <w:b/>
          <w:bCs/>
          <w:color w:val="1F3A5F"/>
          <w:sz w:val="32"/>
          <w:szCs w:val="32"/>
          <w:rtl/>
        </w:rPr>
        <w:t xml:space="preserve">16. النظرة المستقبلية ومحفزات الدرجة</w:t>
      </w:r>
      <w:bookmarkEnd w:id="52"/>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3" w:id="53"/>
      <w:r>
        <w:rPr>
          <w:rFonts w:ascii="Arial" w:cs="Arial" w:eastAsia="Arial" w:hAnsi="Arial"/>
          <w:b/>
          <w:bCs/>
          <w:color w:val="1F3A5F"/>
          <w:sz w:val="32"/>
          <w:szCs w:val="32"/>
          <w:rtl/>
        </w:rPr>
        <w:t xml:space="preserve">17. اكتمال البيانات وما يطلبه التقرير</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18. التقرير</w:t>
      </w:r>
      <w:bookmarkEnd w:id="54"/>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19. مثال محسوب</w:t>
      </w:r>
      <w:bookmarkEnd w:id="55"/>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20. الحوكمة والتحقق قبل الاستعمال</w:t>
      </w:r>
      <w:bookmarkEnd w:id="56"/>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7" w:id="57"/>
      <w:r>
        <w:rPr>
          <w:rFonts w:ascii="Arial" w:cs="Arial" w:eastAsia="Arial" w:hAnsi="Arial"/>
          <w:b/>
          <w:bCs/>
          <w:color w:val="1F3A5F"/>
          <w:sz w:val="32"/>
          <w:szCs w:val="32"/>
          <w:rtl/>
        </w:rPr>
        <w:t xml:space="preserve">21. التحقق من التنفيذ</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22. المراجعة المستقلة</w:t>
      </w:r>
      <w:bookmarkEnd w:id="58"/>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23. الوثائق التي أرفقها المالك في 2026-10-19</w:t>
      </w:r>
      <w:bookmarkEnd w:id="59"/>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60" w:id="60"/>
      <w:r>
        <w:rPr>
          <w:rFonts w:ascii="Arial" w:cs="Arial" w:eastAsia="Arial" w:hAnsi="Arial"/>
          <w:b/>
          <w:bCs/>
          <w:color w:val="1F3A5F"/>
          <w:sz w:val="32"/>
          <w:szCs w:val="32"/>
          <w:rtl/>
        </w:rPr>
        <w:t xml:space="preserve">24. قرارات المالك والأسئلة الباقية</w:t>
      </w:r>
      <w:bookmarkEnd w:id="60"/>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61" w:id="61"/>
      <w:r>
        <w:rPr>
          <w:rFonts w:ascii="Arial" w:cs="Arial" w:eastAsia="Arial" w:hAnsi="Arial"/>
          <w:b/>
          <w:bCs/>
          <w:color w:val="1F3A5F"/>
          <w:sz w:val="32"/>
          <w:szCs w:val="32"/>
          <w:rtl/>
        </w:rPr>
        <w:t xml:space="preserve">25. حدود معروفة</w:t>
      </w:r>
      <w:bookmarkEnd w:id="61"/>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62" w:id="62"/>
      <w:r>
        <w:rPr>
          <w:rFonts w:ascii="Arial" w:cs="Arial" w:eastAsia="Arial" w:hAnsi="Arial"/>
          <w:b/>
          <w:bCs/>
          <w:color w:val="1F3A5F"/>
          <w:sz w:val="32"/>
          <w:szCs w:val="32"/>
          <w:rtl/>
        </w:rPr>
        <w:t xml:space="preserve">26. المراجع</w:t>
      </w:r>
      <w:bookmarkEnd w:id="62"/>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2026-10-20T15:39:13.729Z</dcterms:created>
  <dcterms:modified xsi:type="dcterms:W3CDTF">2026-10-20T15:39:13.735Z</dcterms:modified>
</cp:coreProperties>
</file>

<file path=docProps/custom.xml><?xml version="1.0" encoding="utf-8"?>
<Properties xmlns="http://schemas.openxmlformats.org/officeDocument/2006/custom-properties" xmlns:vt="http://schemas.openxmlformats.org/officeDocument/2006/docPropsVTypes"/>
</file>