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الست كلها (أ إلى و)</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pStyle w:val="ListParagraph"/>
        <w:numPr>
          <w:ilvl w:val="0"/>
          <w:numId w:val="4"/>
        </w:numPr>
        <w:bidi/>
        <w:spacing w:after="70" w:before="0" w:line="300"/>
      </w:pPr>
      <w:r>
        <w:rPr>
          <w:rFonts w:ascii="Arial" w:cs="Arial" w:eastAsia="Arial" w:hAnsi="Arial"/>
          <w:b/>
          <w:bCs/>
          <w:sz w:val="21"/>
          <w:szCs w:val="21"/>
          <w:rtl/>
        </w:rPr>
        <w:t xml:space="preserve">المرحلة د</w:t>
      </w:r>
      <w:r>
        <w:rPr>
          <w:rFonts w:ascii="Arial" w:cs="Arial" w:eastAsia="Arial" w:hAnsi="Arial"/>
          <w:b w:val="false"/>
          <w:bCs w:val="false"/>
          <w:sz w:val="21"/>
          <w:szCs w:val="21"/>
          <w:rtl/>
        </w:rPr>
        <w:t xml:space="preserve"> (بطلب المالك 2026-10-20): ملف الجاهزية قبل جهة التمويل، والجدول الزمني، والإنذار المبكر بستة أشهر (ADR 0024، FR-FIN-037، BR-FIN-038، الاختبار CA20).</w:t>
      </w:r>
    </w:p>
    <w:p>
      <w:pPr>
        <w:pStyle w:val="ListParagraph"/>
        <w:numPr>
          <w:ilvl w:val="0"/>
          <w:numId w:val="4"/>
        </w:numPr>
        <w:bidi/>
        <w:spacing w:after="70" w:before="0" w:line="300"/>
      </w:pPr>
      <w:r>
        <w:rPr>
          <w:rFonts w:ascii="Arial" w:cs="Arial" w:eastAsia="Arial" w:hAnsi="Arial"/>
          <w:b/>
          <w:bCs/>
          <w:sz w:val="21"/>
          <w:szCs w:val="21"/>
          <w:rtl/>
        </w:rPr>
        <w:t xml:space="preserve">المرحلة هـ</w:t>
      </w:r>
      <w:r>
        <w:rPr>
          <w:rFonts w:ascii="Arial" w:cs="Arial" w:eastAsia="Arial" w:hAnsi="Arial"/>
          <w:b w:val="false"/>
          <w:bCs w:val="false"/>
          <w:sz w:val="21"/>
          <w:szCs w:val="21"/>
          <w:rtl/>
        </w:rPr>
        <w:t xml:space="preserve"> (بطلب المالك 2026-10-20): تقييم القوائم التقديرية (الموازنة) ومقارنتها بالسنة الفعلية (ADR 0025، FR-FIN-038، BR-FIN-039، الاختبار CA21).</w:t>
      </w:r>
    </w:p>
    <w:p>
      <w:pPr>
        <w:pStyle w:val="ListParagraph"/>
        <w:numPr>
          <w:ilvl w:val="0"/>
          <w:numId w:val="4"/>
        </w:numPr>
        <w:bidi/>
        <w:spacing w:after="70" w:before="0" w:line="300"/>
      </w:pPr>
      <w:r>
        <w:rPr>
          <w:rFonts w:ascii="Arial" w:cs="Arial" w:eastAsia="Arial" w:hAnsi="Arial"/>
          <w:b/>
          <w:bCs/>
          <w:sz w:val="21"/>
          <w:szCs w:val="21"/>
          <w:rtl/>
        </w:rPr>
        <w:t xml:space="preserve">المرحلة و</w:t>
      </w:r>
      <w:r>
        <w:rPr>
          <w:rFonts w:ascii="Arial" w:cs="Arial" w:eastAsia="Arial" w:hAnsi="Arial"/>
          <w:b w:val="false"/>
          <w:bCs w:val="false"/>
          <w:sz w:val="21"/>
          <w:szCs w:val="21"/>
          <w:rtl/>
        </w:rPr>
        <w:t xml:space="preserve"> (بطلب المالك 2026-10-20): التصنيف الذي يبلغ به البنك الشركة ومقارنته بتقييمها وموضع الافتراق (ADR 0026، FR-FIN-039، BR-FIN-040، الاختبار CA22).</w:t>
      </w:r>
    </w:p>
    <w:p>
      <w:pPr>
        <w:pStyle w:val="ListParagraph"/>
        <w:numPr>
          <w:ilvl w:val="0"/>
          <w:numId w:val="4"/>
        </w:numPr>
        <w:bidi/>
        <w:spacing w:after="70" w:before="0" w:line="300"/>
      </w:pPr>
      <w:r>
        <w:rPr>
          <w:rFonts w:ascii="Arial" w:cs="Arial" w:eastAsia="Arial" w:hAnsi="Arial"/>
          <w:b/>
          <w:bCs/>
          <w:sz w:val="21"/>
          <w:szCs w:val="21"/>
          <w:rtl/>
        </w:rPr>
        <w:t xml:space="preserve">مهمة إشعارات الإنذار المبكر</w:t>
      </w:r>
      <w:r>
        <w:rPr>
          <w:rFonts w:ascii="Arial" w:cs="Arial" w:eastAsia="Arial" w:hAnsi="Arial"/>
          <w:b w:val="false"/>
          <w:bCs w:val="false"/>
          <w:sz w:val="21"/>
          <w:szCs w:val="21"/>
          <w:rtl/>
        </w:rPr>
        <w:t xml:space="preserve"> (بطلب المالك 2026-10-20):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ترسل الإنذار بكل موعد غير جاهز دون أن يفتح أحد ملف الجاهزية. ترسله مرة عند دخول الموعد مدة التنبيه، ثم عند 90 و30 و7 أيام، ومرة أخرى إن ساءت جاهزيته. ولا يتكرر بإعادة التشغيل ولا بعد توقف المهمة (ADR 0027، FR-FIN-040، BR-FIN-041، الاختبار CA23).</w:t>
      </w:r>
    </w:p>
    <w:p>
      <w:pPr>
        <w:pStyle w:val="ListParagraph"/>
        <w:numPr>
          <w:ilvl w:val="0"/>
          <w:numId w:val="4"/>
        </w:numPr>
        <w:bidi/>
        <w:spacing w:after="70" w:before="0" w:line="300"/>
      </w:pPr>
      <w:r>
        <w:rPr>
          <w:rFonts w:ascii="Arial" w:cs="Arial" w:eastAsia="Arial" w:hAnsi="Arial"/>
          <w:b/>
          <w:bCs/>
          <w:sz w:val="21"/>
          <w:szCs w:val="21"/>
          <w:rtl/>
        </w:rPr>
        <w:t xml:space="preserve">قوالب رسائل الإنذار بالعربية والإنجليزية</w:t>
      </w:r>
      <w:r>
        <w:rPr>
          <w:rFonts w:ascii="Arial" w:cs="Arial" w:eastAsia="Arial" w:hAnsi="Arial"/>
          <w:b w:val="false"/>
          <w:bCs w:val="false"/>
          <w:sz w:val="21"/>
          <w:szCs w:val="21"/>
          <w:rtl/>
        </w:rPr>
        <w:t xml:space="preserve"> (بطلب المالك 2026-10-20): رسالة حمراء وأخرى صفراء، في التطبيق وبالبريد، بلغة المستلم. تذكر الموعد ومرجعه والأيام الباقية وسبب الجاهزية ودرجة التقييم، وما يُنصح به قبل الموعد. وهي أول محتوى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 (ADR 0028، FR-FIN-041، BR-FIN-042، الاختبار CA24).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2026-10-20T15:39:21.531Z</dcterms:created>
  <dcterms:modified xsi:type="dcterms:W3CDTF">2026-10-20T15:39:21.531Z</dcterms:modified>
</cp:coreProperties>
</file>

<file path=docProps/custom.xml><?xml version="1.0" encoding="utf-8"?>
<Properties xmlns="http://schemas.openxmlformats.org/officeDocument/2006/custom-properties" xmlns:vt="http://schemas.openxmlformats.org/officeDocument/2006/docPropsVTypes"/>
</file>