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194 tables · 20 schemas · 763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194 tables in 20 schemas; 763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194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14</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194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38</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70720" cy="6175462"/>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70720" cy="6175462"/>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2439353"/>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2439353"/>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203950" cy="3345063"/>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203950" cy="3345063"/>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7220" cy="4043061"/>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7220" cy="4043061"/>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9380" cy="5970457"/>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9380" cy="5970457"/>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35420" cy="71673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35420" cy="71673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both checked by the application</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9430" cy="6973323"/>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9430" cy="6973323"/>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Open decision. The analysis document does not name the algorithm.</w:t>
            </w:r>
          </w:p>
        </w:tc>
        <w:tc>
          <w:tcPr>
            <w:tcW w:type="dxa" w:w="2721"/>
          </w:tcPr>
          <w:p>
            <w:pPr>
              <w:spacing w:after="0" w:before="0"/>
            </w:pPr>
            <w:r/>
            <w:r>
              <w:rPr>
                <w:rFonts w:ascii="Arial" w:hAnsi="Arial"/>
                <w:b w:val="0"/>
                <w:sz w:val="15"/>
              </w:rPr>
              <w:t>Record the algorithm and parameters in the security section of the analysis document.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The DDL is generated from the model and checked by count against it. The structure was checked on PostgreSQL only. db/deploy.sql has not been executed on SQL Server.</w:t>
            </w:r>
          </w:p>
        </w:tc>
        <w:tc>
          <w:tcPr>
            <w:tcW w:type="dxa" w:w="2721"/>
            <w:shd w:val="clear" w:color="auto" w:fill="E8EEF6"/>
          </w:tcPr>
          <w:p>
            <w:pPr>
              <w:spacing w:after="0" w:before="0"/>
            </w:pPr>
            <w:r/>
            <w:r>
              <w:rPr>
                <w:rFonts w:ascii="Arial" w:hAnsi="Arial"/>
                <w:b w:val="0"/>
                <w:sz w:val="15"/>
              </w:rPr>
              <w:t>Run db/deploy.sql on a SQL Server 2025 instance and make it a CI gate.</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Drafted as a trigger for approved revisions: db/static/050_fac_share_rule.sql, deployed by db/deploy.sql. Not executed and not tested.</w:t>
            </w:r>
          </w:p>
        </w:tc>
        <w:tc>
          <w:tcPr>
            <w:tcW w:type="dxa" w:w="2721"/>
          </w:tcPr>
          <w:p>
            <w:pPr>
              <w:spacing w:after="0" w:before="0"/>
            </w:pPr>
            <w:r/>
            <w:r>
              <w:rPr>
                <w:rFonts w:ascii="Arial" w:hAnsi="Arial"/>
                <w:b w:val="0"/>
                <w:sz w:val="15"/>
              </w:rPr>
              <w:t>Test insert, update, delete and approval cases on SQL Server 2025 before release.</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Assign an owner and a review date to each question; resolve the critical ones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Row-level security filters rows by SESSION_CONTEXT(TenantId) (db/static/010_rls.sql). For tenant-owned tables a missing context compares as NULL and returns no rows. Endpoint tests do not exist yet.</w:t>
            </w:r>
          </w:p>
        </w:tc>
        <w:tc>
          <w:tcPr>
            <w:tcW w:type="dxa" w:w="2721"/>
          </w:tcPr>
          <w:p>
            <w:pPr>
              <w:spacing w:after="0" w:before="0"/>
            </w:pPr>
            <w:r/>
            <w:r>
              <w:rPr>
                <w:rFonts w:ascii="Arial" w:hAnsi="Arial"/>
                <w:b w:val="0"/>
                <w:sz w:val="15"/>
              </w:rPr>
              <w:t>Add cross-tenant (IDOR) and no-context tests to CI for every endpoint.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Open. Range allocation is proposed; no decision recorded.</w:t>
            </w:r>
          </w:p>
        </w:tc>
        <w:tc>
          <w:tcPr>
            <w:tcW w:type="dxa" w:w="2721"/>
            <w:shd w:val="clear" w:color="auto" w:fill="E8EEF6"/>
          </w:tcPr>
          <w:p>
            <w:pPr>
              <w:spacing w:after="0" w:before="0"/>
            </w:pPr>
            <w:r/>
            <w:r>
              <w:rPr>
                <w:rFonts w:ascii="Arial" w:hAnsi="Arial"/>
                <w:b w:val="0"/>
                <w:sz w:val="15"/>
              </w:rPr>
              <w:t>Legal and operational decision on whether gaps are acceptable, then a numbering design.</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O-14</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vertical-slice plan (S0 to S5) gates the rest of the build.</w:t>
            </w:r>
          </w:p>
        </w:tc>
        <w:tc>
          <w:tcPr>
            <w:tcW w:type="dxa" w:w="4819"/>
            <w:shd w:val="clear" w:color="auto" w:fill="E8EEF6"/>
          </w:tcPr>
          <w:p>
            <w:pPr>
              <w:spacing w:after="0" w:before="0"/>
            </w:pPr>
            <w:r/>
            <w:r>
              <w:rPr>
                <w:rFonts w:ascii="Arial" w:hAnsi="Arial"/>
                <w:b w:val="0"/>
                <w:sz w:val="15"/>
              </w:rPr>
              <w:t>Planned in the analysis document; not started.</w:t>
            </w:r>
          </w:p>
        </w:tc>
        <w:tc>
          <w:tcPr>
            <w:tcW w:type="dxa" w:w="2721"/>
            <w:shd w:val="clear" w:color="auto" w:fill="E8EEF6"/>
          </w:tcPr>
          <w:p>
            <w:pPr>
              <w:spacing w:after="0" w:before="0"/>
            </w:pPr>
            <w:r/>
            <w:r>
              <w:rPr>
                <w:rFonts w:ascii="Arial" w:hAnsi="Arial"/>
                <w:b w:val="0"/>
                <w:sz w:val="15"/>
              </w:rPr>
              <w:t>Start S0 once O-01, O-02 and O-07 are decided.</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194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both checked by the application</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or password-reset token (30 minutes) (FR-PLT-013)</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194</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763</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579</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504</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