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DOC-B07 — قائمة شاشات S0 وخريطة التنقل والنماذج الأولية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DOC-B07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تجربة المستخدم (UX lead) مع قائد الواجهة الأمامية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لشاشات S0 وقشرة التنقل؛ P1 لما بعدها</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FR-PLT-004، FR-PLT-005، FR-PLT-006، FR-PLT-007، FR-PLT-009…014، FR-PLT-016…020، FR-PLT-022…024، FR-PLT-026، FR-PLT-032، FR-PLT-034، FR-PLT-043، FR-PLT-044، FR-PLT-046، BR-PLT-019</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DOC-F07 (حالات الاستخدام ورموز الصلاحيات)، DOC-F03، DOC-S03، DOC-B02، DOC-B04، DOC-B10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docs/10-detailed-analysis/10-m0-m1-platform-organization.md:369-398، docs/10-detailed-analysis/00-overview-and-cross-cutting.md:232-246، db/model/10-platform.model، db/static/025_tenant_views.sql</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شاشات بوابة المشترك في S0</w:t>
        </w:r>
      </w:hyperlink>
    </w:p>
    <w:p>
      <w:pPr>
        <w:bidi/>
        <w:spacing w:after="50" w:before="0"/>
        <w:ind w:left="0"/>
      </w:pPr>
      <w:hyperlink w:history="1" w:anchor="_sec3">
        <w:r>
          <w:rPr>
            <w:rFonts w:ascii="Arial" w:cs="Arial" w:eastAsia="Arial" w:hAnsi="Arial"/>
            <w:b/>
            <w:bCs/>
            <w:color w:val="1F3A5F"/>
            <w:sz w:val="20"/>
            <w:szCs w:val="20"/>
            <w:rtl/>
          </w:rPr>
          <w:t xml:space="preserve">3. شاشات لوحة المشغّل في S0</w:t>
        </w:r>
      </w:hyperlink>
    </w:p>
    <w:p>
      <w:pPr>
        <w:bidi/>
        <w:spacing w:after="50" w:before="0"/>
        <w:ind w:left="0"/>
      </w:pPr>
      <w:hyperlink w:history="1" w:anchor="_sec4">
        <w:r>
          <w:rPr>
            <w:rFonts w:ascii="Arial" w:cs="Arial" w:eastAsia="Arial" w:hAnsi="Arial"/>
            <w:b/>
            <w:bCs/>
            <w:color w:val="1F3A5F"/>
            <w:sz w:val="20"/>
            <w:szCs w:val="20"/>
            <w:rtl/>
          </w:rPr>
          <w:t xml:space="preserve">4. خريطة التنقل</w:t>
        </w:r>
      </w:hyperlink>
    </w:p>
    <w:p>
      <w:pPr>
        <w:bidi/>
        <w:spacing w:after="50" w:before="0"/>
        <w:ind w:left="0"/>
      </w:pPr>
      <w:hyperlink w:history="1" w:anchor="_sec9">
        <w:r>
          <w:rPr>
            <w:rFonts w:ascii="Arial" w:cs="Arial" w:eastAsia="Arial" w:hAnsi="Arial"/>
            <w:b/>
            <w:bCs/>
            <w:color w:val="1F3A5F"/>
            <w:sz w:val="20"/>
            <w:szCs w:val="20"/>
            <w:rtl/>
          </w:rPr>
          <w:t xml:space="preserve">5. النماذج الأولية منخفضة الدقة</w:t>
        </w:r>
      </w:hyperlink>
    </w:p>
    <w:p>
      <w:pPr>
        <w:bidi/>
        <w:spacing w:after="50" w:before="0"/>
        <w:ind w:left="0"/>
      </w:pPr>
      <w:hyperlink w:history="1" w:anchor="_sec15">
        <w:r>
          <w:rPr>
            <w:rFonts w:ascii="Arial" w:cs="Arial" w:eastAsia="Arial" w:hAnsi="Arial"/>
            <w:b/>
            <w:bCs/>
            <w:color w:val="1F3A5F"/>
            <w:sz w:val="20"/>
            <w:szCs w:val="20"/>
            <w:rtl/>
          </w:rPr>
          <w:t xml:space="preserve">6. قواعد مشتركة للشاشات</w:t>
        </w:r>
      </w:hyperlink>
    </w:p>
    <w:p>
      <w:pPr>
        <w:bidi/>
        <w:spacing w:after="50" w:before="0"/>
        <w:ind w:left="0"/>
      </w:pPr>
      <w:hyperlink w:history="1" w:anchor="_sec16">
        <w:r>
          <w:rPr>
            <w:rFonts w:ascii="Arial" w:cs="Arial" w:eastAsia="Arial" w:hAnsi="Arial"/>
            <w:b/>
            <w:bCs/>
            <w:color w:val="1F3A5F"/>
            <w:sz w:val="20"/>
            <w:szCs w:val="20"/>
            <w:rtl/>
          </w:rPr>
          <w:t xml:space="preserve">7. القرارات المطلوبة</w:t>
        </w:r>
      </w:hyperlink>
    </w:p>
    <w:p>
      <w:pPr>
        <w:bidi/>
        <w:spacing w:after="50" w:before="0"/>
        <w:ind w:left="0"/>
      </w:pPr>
      <w:hyperlink w:history="1" w:anchor="_sec17">
        <w:r>
          <w:rPr>
            <w:rFonts w:ascii="Arial" w:cs="Arial" w:eastAsia="Arial" w:hAnsi="Arial"/>
            <w:b/>
            <w:bCs/>
            <w:color w:val="1F3A5F"/>
            <w:sz w:val="20"/>
            <w:szCs w:val="20"/>
            <w:rtl/>
          </w:rPr>
          <w:t xml:space="preserve">8. تعارضات وفجوات في المصادر</w:t>
        </w:r>
      </w:hyperlink>
    </w:p>
    <w:p>
      <w:pPr>
        <w:bidi/>
        <w:spacing w:after="50" w:before="0"/>
        <w:ind w:left="0"/>
      </w:pPr>
      <w:hyperlink w:history="1" w:anchor="_sec18">
        <w:r>
          <w:rPr>
            <w:rFonts w:ascii="Arial" w:cs="Arial" w:eastAsia="Arial" w:hAnsi="Arial"/>
            <w:b/>
            <w:bCs/>
            <w:color w:val="1F3A5F"/>
            <w:sz w:val="20"/>
            <w:szCs w:val="20"/>
            <w:rtl/>
          </w:rPr>
          <w:t xml:space="preserve">9. التتبع</w:t>
        </w:r>
      </w:hyperlink>
    </w:p>
    <w:p>
      <w:pPr>
        <w:bidi/>
        <w:spacing w:after="50" w:before="0"/>
        <w:ind w:left="0"/>
      </w:pPr>
      <w:hyperlink w:history="1" w:anchor="_sec19">
        <w:r>
          <w:rPr>
            <w:rFonts w:ascii="Arial" w:cs="Arial" w:eastAsia="Arial" w:hAnsi="Arial"/>
            <w:b/>
            <w:bCs/>
            <w:color w:val="1F3A5F"/>
            <w:sz w:val="20"/>
            <w:szCs w:val="20"/>
            <w:rtl/>
          </w:rPr>
          <w:t xml:space="preserve">10. ملحق S2-ب: شاشات البيانات المالية والتحقق والتقييم (2026-10-23)</w:t>
        </w:r>
      </w:hyperlink>
    </w:p>
    <w:p>
      <w:pPr>
        <w:bidi/>
        <w:spacing w:after="50" w:before="0"/>
        <w:ind w:left="0"/>
      </w:pPr>
      <w:hyperlink w:history="1" w:anchor="_sec20">
        <w:r>
          <w:rPr>
            <w:rFonts w:ascii="Arial" w:cs="Arial" w:eastAsia="Arial" w:hAnsi="Arial"/>
            <w:b/>
            <w:bCs/>
            <w:color w:val="1F3A5F"/>
            <w:sz w:val="20"/>
            <w:szCs w:val="20"/>
            <w:rtl/>
          </w:rPr>
          <w:t xml:space="preserve">11. ملحق S3: شاشات الطلبات والاعتمادات (2026-10-23)</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كل شاشة في S0 معرّفًا موحّدًا SCR-PLT-nn، وتربطها بحالة استخدام من DOC-F07 وبسيناريو قبول حين يوجد، وترسم قشرة التنقل، وتقدم نماذج أولية منخفضة الدقة لخمس شاشات.</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الواجهة إنجليزية (LTR) أولًا، والعربية لاحقًا بملفات الموارد دون تعديل الكود (FR-PLT-032، docs/10-detailed-analysis/10-m0-m1-platform-organization.md:134). كل التسميات أدناه إنجليزية مع مقابل عربي للمراجعة؛ المقابلات المعتمدة في DOC-B10.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ترقيم الشاشات: SCR-PLT-01 إلى SCR-PLT-49 لبوابة المشترك، وSCR-PLT-51 إلى SCR-PLT-99 للوحة المشغّل (DQ-B07-2).</w:t>
      </w:r>
    </w:p>
    <w:p>
      <w:pPr>
        <w:pStyle w:val="ListParagraph"/>
        <w:numPr>
          <w:ilvl w:val="0"/>
          <w:numId w:val="2"/>
        </w:numPr>
        <w:bidi/>
        <w:spacing w:after="70" w:before="0" w:line="300"/>
      </w:pPr>
      <w:r>
        <w:rPr>
          <w:rFonts w:ascii="Arial" w:cs="Arial" w:eastAsia="Arial" w:hAnsi="Arial"/>
          <w:b w:val="false"/>
          <w:bCs w:val="false"/>
          <w:sz w:val="21"/>
          <w:szCs w:val="21"/>
          <w:rtl/>
        </w:rPr>
        <w:t xml:space="preserve">عمود «صف §7.1» يشير إلى رقم الصف في docs/10-detailed-analysis/10-m0-m1-platform-organization.md:371-398؛ «جديد» يعني شاشة لا يذكرها ذلك الجدول.</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الشاشة لا تمنح صلاحية: إخفاء الزر لا يغني عن رفض الخادم (403 أو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سيناريوهات القبول AC-PLT-1 إلى AC-PLT-4 وAC-ORG وAC-PTY من 10-m0-m1 §15؛ وAC-PLT-5 وما بعدها مقترحة في DOC-B02.</w:t>
      </w:r>
    </w:p>
    <w:p>
      <w:pPr>
        <w:bidi/>
        <w:spacing w:after="60" w:before="0"/>
      </w:pPr>
    </w:p>
    <w:p>
      <w:pPr>
        <w:pStyle w:val="Heading1"/>
        <w:bidi/>
      </w:pPr>
      <w:bookmarkStart w:name="_sec2" w:id="2"/>
      <w:r>
        <w:rPr>
          <w:rFonts w:ascii="Arial" w:cs="Arial" w:eastAsia="Arial" w:hAnsi="Arial"/>
          <w:b/>
          <w:bCs/>
          <w:color w:val="1F3A5F"/>
          <w:sz w:val="32"/>
          <w:szCs w:val="32"/>
          <w:rtl/>
        </w:rPr>
        <w:t xml:space="preserve">2. شاشات بوابة المشترك في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91"/>
        <w:gridCol w:w="1669"/>
        <w:gridCol w:w="1669"/>
        <w:gridCol w:w="2785"/>
        <w:gridCol w:w="1391"/>
        <w:gridCol w:w="959"/>
      </w:tblGrid>
      <w:tr>
        <w:trPr>
          <w:cantSplit/>
          <w:tblHeader/>
        </w:trPr>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 · الدخول</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Sign in، Forgot password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 AC-PLT-10،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 · التحقق بخطوتين</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من 6 أرقام؛ Use a recovery code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تنتظر MFA</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 AC-PLT-2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Reset password · إعادة تعيين كلمة المرور</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ثم New password مرتين</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ثم رمز الرابط</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 · AC-PLT-11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Accept invitation · قبول الدعوة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رمز QR، رمز التأكيد، رموز الاسترداد العشرة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الدعوة</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 · AC-PLT-11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Neutral page · الصفحة المحايدة</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غير معروف؛ نص عام بلا كشف</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 (1أ) · AC-PLT-21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 · الرئيسية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 بنسبة الإنجاز لمدير الحساب، واختصارات</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 قائمة البدء </w:t>
            </w: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 · AC-PLT-9</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 · المستخدمون</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آخر دخول؛ Invite، Disable، Unlock، Reset MFA، End sessions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UC-PLT-13 · AC-PLT-13، AC-PLT-2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SCR-PLT-08</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details · بطاقة المستخدم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Profile، Roles، Company scope، Sessions، Activity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UC-PLT-13، UC-PLT-14 · AC-PLT-13، AC-PLT-12</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 · الأدوار والصلاحيات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بالوحدات المفعّلة؛ علامة حساسة؛ خانة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معطّلة بسبب القفل؛ Create role، Copy role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 · AC-PLT-13، AC-PTY-1</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scope · نطاق الشركات</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أو Selected؛ شجرة الشركات؛ Include subsidiaries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 · AC-PLT-1</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 · الأمان والإعدادات</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المهل، مدة إعادة الإخفاء، العتبات، Work start/end، Support access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وصول الدعم </w:t>
            </w:r>
            <w:r>
              <w:rPr>
                <w:rFonts w:ascii="Courier New" w:cs="Courier New" w:eastAsia="Courier New" w:hAnsi="Courier New"/>
                <w:b w:val="false"/>
                <w:bCs w:val="false"/>
                <w:color w:val="1F2937"/>
                <w:sz w:val="16"/>
                <w:szCs w:val="16"/>
                <w:shd w:fill="F1F3F5" w:color="auto" w:val="clear"/>
                <w:rtl/>
              </w:rPr>
              <w:t xml:space="preserve">‎sec.support.grant‎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 · AC-PLT-19، AC-PLT-8</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 · الترقيم</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 Define، Void number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 · AC-PLT-3، AC-ORG-3</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 · سجل التدقيق</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الفاعل والكيان والفترة والنوع والشركة والشدة؛ قبل وبعد؛ Export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التصدير </w:t>
            </w:r>
            <w:r>
              <w:rPr>
                <w:rFonts w:ascii="Courier New" w:cs="Courier New" w:eastAsia="Courier New" w:hAnsi="Courier New"/>
                <w:b w:val="false"/>
                <w:bCs w:val="false"/>
                <w:color w:val="1F2937"/>
                <w:sz w:val="16"/>
                <w:szCs w:val="16"/>
                <w:shd w:fill="F1F3F5" w:color="auto" w:val="clear"/>
                <w:rtl/>
              </w:rPr>
              <w:t xml:space="preserve">‎audit.export‎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 · AC-PLT-14</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 · المهام الخلفية</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آخر تشغيل، المدة، النتيجة</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 · AC-PLT-20</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My profile · ملفي</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Language، Number format، رموز الاسترداد، جلساتي</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 UC-PLT-11 · AC-PLT-16، AC-PLT-12</w:t>
            </w:r>
          </w:p>
        </w:tc>
        <w:tc>
          <w:tcPr>
            <w:tcW w:type="dxa" w:w="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panel · مكوّن المستند</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مشترك: النوع، الملف، البيانات، الإصدارات، Download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الكيان المالك</w:t>
            </w:r>
          </w:p>
        </w:tc>
        <w:tc>
          <w:tcPr>
            <w:tcW w:type="dxa" w:w="1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 · AC-PLT-15</w:t>
            </w:r>
          </w:p>
        </w:tc>
        <w:tc>
          <w:tcPr>
            <w:tcW w:type="dxa" w:w="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شاشات M0 بعد S0 (P1، تُفصَّل لاحقًا): SCR-PLT-17 Expiry alert rules (صف 10، S1)، وSCR-PLT-18 Export and retention (صف 12، S5). وشاشات الصفوف 13 إلى 26 تأخذ SCR-ORG-nn وSCR-PTY-nn في تحديث S1 لهذه الوثيقة.</w:t>
      </w:r>
    </w:p>
    <w:p>
      <w:pPr>
        <w:pStyle w:val="Heading1"/>
        <w:bidi/>
      </w:pPr>
      <w:bookmarkStart w:name="_sec3" w:id="3"/>
      <w:r>
        <w:rPr>
          <w:rFonts w:ascii="Arial" w:cs="Arial" w:eastAsia="Arial" w:hAnsi="Arial"/>
          <w:b/>
          <w:bCs/>
          <w:color w:val="1F3A5F"/>
          <w:sz w:val="32"/>
          <w:szCs w:val="32"/>
          <w:rtl/>
        </w:rPr>
        <w:t xml:space="preserve">3. شاشات لوحة المشغّل في S0</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004"/>
        <w:gridCol w:w="2248"/>
        <w:gridCol w:w="1403"/>
        <w:gridCol w:w="1403"/>
      </w:tblGrid>
      <w:tr>
        <w:trPr>
          <w:cantSplit/>
          <w:tblHeader/>
        </w:trPr>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0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والحقول والإجراءات</w:t>
            </w:r>
          </w:p>
        </w:tc>
        <w:tc>
          <w:tcPr>
            <w:tcW w:type="dxa" w:w="2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 · القبول</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صف §7.1</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sign in · دخول المشغّل</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Password، ثم TOTP</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مشغّل</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المشتركون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 Create، Activate، Extend trial، Suspend، Reactivate، Close</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 القراءة OPERATOR_SUPPORT</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UC-PLT-05، UC-PLT-03 · AC-PLT-7، AC-PLT-6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Create tenant · إنشاء مشترك</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مع معاينة العنوان الفرعي، الاسمان، الباقة، الدولة الأم، اللغة، التوقيت، الوحدات، بريد المدير الأول</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 AC-PLT-5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(إجراء)</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details · تفاصيل المشترك</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المدير الأول، إصدارات البذور، جلسات الدعم؛ Enable module، Resend invitation، Re-seed</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UC-PLT-04، UC-PLT-02، UC-PLT-07 · AC-PLT-5، AC-PLT-8</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Global references · المراجع العالمية</w:t>
            </w:r>
          </w:p>
        </w:tc>
        <w:tc>
          <w:tcPr>
            <w:tcW w:type="dxa" w:w="20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العملات، العطل، كتالوج الصلاحيات للعرض</w:t>
            </w:r>
          </w:p>
        </w:tc>
        <w:tc>
          <w:tcPr>
            <w:tcW w:type="dxa" w:w="2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 · AC-PLT-7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accounts · حسابات المشغّلين</w:t>
            </w:r>
          </w:p>
        </w:tc>
        <w:tc>
          <w:tcPr>
            <w:tcW w:type="dxa" w:w="20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الدور، الحالة؛ Invite، Disable، Reset MFA</w:t>
            </w:r>
          </w:p>
        </w:tc>
        <w:tc>
          <w:tcPr>
            <w:tcW w:type="dxa" w:w="2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OPERATOR_ADMIN</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 AC-PLT-7</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(DQ-F07-3)</w:t>
            </w:r>
          </w:p>
        </w:tc>
      </w:tr>
    </w:tbl>
    <w:p>
      <w:pPr>
        <w:bidi/>
        <w:spacing w:after="120" w:before="0"/>
      </w:pPr>
    </w:p>
    <w:p>
      <w:pPr>
        <w:bidi/>
        <w:spacing w:after="110" w:before="0" w:line="312"/>
      </w:pPr>
      <w:r>
        <w:rPr>
          <w:rFonts w:ascii="Arial" w:cs="Arial" w:eastAsia="Arial" w:hAnsi="Arial"/>
          <w:b w:val="false"/>
          <w:bCs w:val="false"/>
          <w:sz w:val="21"/>
          <w:szCs w:val="21"/>
          <w:rtl/>
        </w:rPr>
        <w:t xml:space="preserve">لا شاشة لتدوير المفاتيح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التدوير بأداة تشغيل موثّقة (UC-PLT-27، DOC-S02).</w:t>
      </w:r>
    </w:p>
    <w:p>
      <w:pPr>
        <w:pStyle w:val="Heading1"/>
        <w:bidi/>
      </w:pPr>
      <w:bookmarkStart w:name="_sec4" w:id="4"/>
      <w:r>
        <w:rPr>
          <w:rFonts w:ascii="Arial" w:cs="Arial" w:eastAsia="Arial" w:hAnsi="Arial"/>
          <w:b/>
          <w:bCs/>
          <w:color w:val="1F3A5F"/>
          <w:sz w:val="32"/>
          <w:szCs w:val="32"/>
          <w:rtl/>
        </w:rPr>
        <w:t xml:space="preserve">4. خريطة التنقل</w:t>
      </w:r>
      <w:bookmarkEnd w:id="4"/>
    </w:p>
    <w:p>
      <w:pPr>
        <w:pStyle w:val="Heading2"/>
        <w:bidi/>
      </w:pPr>
      <w:bookmarkStart w:name="_sec5" w:id="5"/>
      <w:r>
        <w:rPr>
          <w:rFonts w:ascii="Arial" w:cs="Arial" w:eastAsia="Arial" w:hAnsi="Arial"/>
          <w:b/>
          <w:bCs/>
          <w:color w:val="2B5C8A"/>
          <w:sz w:val="26"/>
          <w:szCs w:val="26"/>
          <w:rtl/>
        </w:rPr>
        <w:t xml:space="preserve">4.1 العناوين والفصل بين البوابتين</w:t>
      </w:r>
      <w:bookmarkEnd w:id="5"/>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بوابة المشترك على </w:t>
      </w:r>
      <w:r>
        <w:rPr>
          <w:rFonts w:ascii="Courier New" w:cs="Courier New" w:eastAsia="Courier New" w:hAnsi="Courier New"/>
          <w:b w:val="false"/>
          <w:bCs w:val="false"/>
          <w:color w:val="1F2937"/>
          <w:sz w:val="18"/>
          <w:szCs w:val="18"/>
          <w:shd w:fill="F1F3F5" w:color="auto" w:val="clear"/>
          <w:rtl/>
        </w:rPr>
        <w:t xml:space="preserve">‎{tenant}.bankfas.com‎</w:t>
      </w:r>
      <w:r>
        <w:rPr>
          <w:rFonts w:ascii="Arial" w:cs="Arial" w:eastAsia="Arial" w:hAnsi="Arial"/>
          <w:b w:val="false"/>
          <w:bCs w:val="false"/>
          <w:sz w:val="21"/>
          <w:szCs w:val="21"/>
          <w:rtl/>
        </w:rPr>
        <w:t xml:space="preserve"> بصفحة دخول واحدة لكل عنوان (FR-PLT-046). العنوان غير المعروف يعرض SCR-PLT-05.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لوحة المشغّل على عنوان محجوز منفصل، مثل </w:t>
      </w:r>
      <w:r>
        <w:rPr>
          <w:rFonts w:ascii="Courier New" w:cs="Courier New" w:eastAsia="Courier New" w:hAnsi="Courier New"/>
          <w:b w:val="false"/>
          <w:bCs w:val="false"/>
          <w:color w:val="1F2937"/>
          <w:sz w:val="18"/>
          <w:szCs w:val="18"/>
          <w:shd w:fill="F1F3F5" w:color="auto" w:val="clear"/>
          <w:rtl/>
        </w:rPr>
        <w:t xml:space="preserve">‎admin.bankfas.com‎</w:t>
      </w:r>
      <w:r>
        <w:rPr>
          <w:rFonts w:ascii="Arial" w:cs="Arial" w:eastAsia="Arial" w:hAnsi="Arial"/>
          <w:b w:val="false"/>
          <w:bCs w:val="false"/>
          <w:sz w:val="21"/>
          <w:szCs w:val="21"/>
          <w:rtl/>
        </w:rPr>
        <w:t xml:space="preserve"> من قائمة الأسماء المحجوزة (FR-PLT-046، plat.ReservedSubdomain في db/model/10-platform.model:58)، وهي حد الثقة TB-2 في DOC-F01. جلسة المشغّل لا تصلح في بوابة مشترك ولا العكس (FR-PLT-006). القرار في DQ-F01-2 وDQ-S03-7، وشكل ملف تعريف الارتباط في DOC-S03.</w:t>
      </w:r>
    </w:p>
    <w:p>
      <w:pPr>
        <w:bidi/>
        <w:spacing w:after="60" w:before="0"/>
      </w:pPr>
    </w:p>
    <w:p>
      <w:pPr>
        <w:keepNext/>
        <w:bidi/>
        <w:spacing w:after="60" w:before="160"/>
        <w:jc w:val="center"/>
      </w:pPr>
      <w:r>
        <w:drawing>
          <wp:inline distT="0" distB="0" distL="0" distR="0">
            <wp:extent cx="6096000" cy="397192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71925"/>
                    </a:xfrm>
                    <a:prstGeom prst="rect">
                      <a:avLst/>
                    </a:prstGeom>
                  </pic:spPr>
                </pic:pic>
              </a:graphicData>
            </a:graphic>
          </wp:inline>
        </w:drawing>
      </w:r>
    </w:p>
    <w:p>
      <w:pPr>
        <w:keepNext/>
        <w:bidi/>
        <w:spacing w:after="60" w:before="160"/>
        <w:jc w:val="center"/>
      </w:pPr>
      <w:r>
        <w:drawing>
          <wp:inline distT="0" distB="0" distL="0" distR="0">
            <wp:extent cx="6096000" cy="33528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52800"/>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قشرة بوابة المشترك</w:t>
      </w:r>
      <w:bookmarkEnd w:id="6"/>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&lt;Tenant name&gt;   Company: [All companies in my scope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[Help]  [User name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Home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Companies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Parties      (S1)|              &lt;screen content&gt;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Institutions (S1)|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Administration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Settings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Numbering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Audit log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Jobs           |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الشريط العلوي: اسم المشترك، مبدّل الشركة، المساعدة، قائمة المستخدم (My profile، Sign out).</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القائمة الجانبية تتبع اتجاه اللغة: يسار في الإنجليزية، ويمين في العربية بالخصائص المنطقية (FR-PLT-032).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شريط تنبيه دائم أعلى المحتوى في ثلاث حالات: مشترك ARCHIVED_READ_ONLY (قراءة فقط، وتُخفى أزرار الكتابة)، ومشترك SUSPENDED (السلوك رهن O-18 (erd_open_items))، وجلسة دعم من المشغّل مع وقت انتهائها (BR-PLT-017). DQ-B07-4.</w:t>
      </w:r>
    </w:p>
    <w:p>
      <w:pPr>
        <w:bidi/>
        <w:spacing w:after="60" w:before="0"/>
      </w:pPr>
    </w:p>
    <w:p>
      <w:pPr>
        <w:pStyle w:val="Heading2"/>
        <w:bidi/>
      </w:pPr>
      <w:bookmarkStart w:name="_sec7" w:id="7"/>
      <w:r>
        <w:rPr>
          <w:rFonts w:ascii="Arial" w:cs="Arial" w:eastAsia="Arial" w:hAnsi="Arial"/>
          <w:b/>
          <w:bCs/>
          <w:color w:val="2B5C8A"/>
          <w:sz w:val="26"/>
          <w:szCs w:val="26"/>
          <w:rtl/>
        </w:rPr>
        <w:t xml:space="preserve">4.3 إظهار عناصر القائمة</w:t>
      </w:r>
      <w:bookmarkEnd w:id="7"/>
    </w:p>
    <w:p>
      <w:pPr>
        <w:bidi/>
        <w:spacing w:after="110" w:before="0" w:line="312"/>
      </w:pPr>
      <w:r>
        <w:rPr>
          <w:rFonts w:ascii="Arial" w:cs="Arial" w:eastAsia="Arial" w:hAnsi="Arial"/>
          <w:b w:val="false"/>
          <w:bCs w:val="false"/>
          <w:sz w:val="21"/>
          <w:szCs w:val="21"/>
          <w:rtl/>
        </w:rPr>
        <w:t xml:space="preserve">يظهر العنصر إذا تحقق الشرطان معًا: وحدته مفعّلة في plat.TenantModule ويقرؤها التطبيق من العرض plat.v_TenantModule (db/static/025_tenant_views.sql:22)، والمستخدم يملك صلاحية العرض باتحاد أدواره (BR-PLT-007). الوحدة المعطّلة تختفي ويعيد الخادم 403 (FR-PLT-003).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40"/>
        <w:gridCol w:w="1617"/>
        <w:gridCol w:w="1940"/>
        <w:gridCol w:w="3236"/>
        <w:gridCol w:w="1131"/>
      </w:tblGrid>
      <w:tr>
        <w:trPr>
          <w:cantSplit/>
          <w:tblHeader/>
        </w:trPr>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عنصر القائمة</w:t>
            </w:r>
          </w:p>
        </w:tc>
        <w:tc>
          <w:tcPr>
            <w:tcW w:type="dxa" w:w="1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c>
          <w:tcPr>
            <w:tcW w:type="dxa" w:w="1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ModuleCode</w:t>
            </w:r>
          </w:p>
        </w:tc>
        <w:tc>
          <w:tcPr>
            <w:tcW w:type="dxa" w:w="32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 اللازمة للظهور</w:t>
            </w:r>
          </w:p>
        </w:tc>
        <w:tc>
          <w:tcPr>
            <w:tcW w:type="dxa" w:w="11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Home</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مصادق</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and permissions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 and settings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‎cfg.settings.manage‎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‎cfg.numbering.manage‎</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 log</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‎audit.view.treasury‎</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‎cfg.jobs.view‎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‎party.view‎</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 · Accounts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 الحسابات البنكية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والتعهدات</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1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w:t>
            </w:r>
          </w:p>
        </w:tc>
        <w:tc>
          <w:tcPr>
            <w:tcW w:type="dxa" w:w="1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w:t>
            </w:r>
          </w:p>
        </w:tc>
        <w:tc>
          <w:tcPr>
            <w:tcW w:type="dxa" w:w="32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11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Letters of credit</w:t>
            </w:r>
          </w:p>
        </w:tc>
        <w:tc>
          <w:tcPr>
            <w:tcW w:type="dxa" w:w="1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w:t>
            </w:r>
          </w:p>
        </w:tc>
        <w:tc>
          <w:tcPr>
            <w:tcW w:type="dxa" w:w="1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أو LC_SALES</w:t>
            </w:r>
          </w:p>
        </w:tc>
        <w:tc>
          <w:tcPr>
            <w:tcW w:type="dxa" w:w="32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‎lc.view.all‎</w:t>
            </w:r>
          </w:p>
        </w:tc>
        <w:tc>
          <w:tcPr>
            <w:tcW w:type="dxa" w:w="11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S4</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مجموعة Administration تظهر إن ظهر عنصر واحد منها على الأقل.</w:t>
      </w:r>
    </w:p>
    <w:p>
      <w:pPr>
        <w:pStyle w:val="Heading2"/>
        <w:bidi/>
      </w:pPr>
      <w:bookmarkStart w:name="_sec8" w:id="8"/>
      <w:r>
        <w:rPr>
          <w:rFonts w:ascii="Arial" w:cs="Arial" w:eastAsia="Arial" w:hAnsi="Arial"/>
          <w:b/>
          <w:bCs/>
          <w:color w:val="2B5C8A"/>
          <w:sz w:val="26"/>
          <w:szCs w:val="26"/>
          <w:rtl/>
        </w:rPr>
        <w:t xml:space="preserve">4.4 مبدّل الشركة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 (DQ-B07-1)</w:t>
      </w:r>
      <w:bookmarkEnd w:id="8"/>
    </w:p>
    <w:p>
      <w:pPr>
        <w:pStyle w:val="ListParagraph"/>
        <w:numPr>
          <w:ilvl w:val="0"/>
          <w:numId w:val="2"/>
        </w:numPr>
        <w:bidi/>
        <w:spacing w:after="70" w:before="0" w:line="300"/>
      </w:pPr>
      <w:r>
        <w:rPr>
          <w:rFonts w:ascii="Arial" w:cs="Arial" w:eastAsia="Arial" w:hAnsi="Arial"/>
          <w:b w:val="false"/>
          <w:bCs w:val="false"/>
          <w:sz w:val="21"/>
          <w:szCs w:val="21"/>
          <w:rtl/>
        </w:rPr>
        <w:t xml:space="preserve">يعرض «All companies in my scope» ثم شركات النطاق الفعلي للمستخدم (sec.UserCompanyScope، أو كل الشركات إن كان النمط ALL).</w:t>
      </w:r>
    </w:p>
    <w:p>
      <w:pPr>
        <w:pStyle w:val="ListParagraph"/>
        <w:numPr>
          <w:ilvl w:val="0"/>
          <w:numId w:val="2"/>
        </w:numPr>
        <w:bidi/>
        <w:spacing w:after="70" w:before="0" w:line="300"/>
      </w:pPr>
      <w:r>
        <w:rPr>
          <w:rFonts w:ascii="Arial" w:cs="Arial" w:eastAsia="Arial" w:hAnsi="Arial"/>
          <w:b w:val="false"/>
          <w:bCs w:val="false"/>
          <w:sz w:val="21"/>
          <w:szCs w:val="21"/>
          <w:rtl/>
        </w:rPr>
        <w:t xml:space="preserve">يضيّق القوائم واللوحات إلى شركة واحدة، ولا يوسّع النطاق أبدًا؛ الخادم يطبق النطاق في كل طلب (FR-PLT-020).</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يغيّر الجلسة ولا ربط سياق المشترك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يُخفى في S0 لأن الشركات تبدأ في S1، ويُعرض اسمًا ثابتًا إن كان في النطاق شركة واحدة.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الاختيار يُحفظ في المتصفح للراحة فقط، وليس ضابطًا أمنيًا.</w:t>
      </w:r>
    </w:p>
    <w:p>
      <w:pPr>
        <w:bidi/>
        <w:spacing w:after="60" w:before="0"/>
      </w:pPr>
    </w:p>
    <w:p>
      <w:pPr>
        <w:pStyle w:val="Heading1"/>
        <w:bidi/>
      </w:pPr>
      <w:bookmarkStart w:name="_sec9" w:id="9"/>
      <w:r>
        <w:rPr>
          <w:rFonts w:ascii="Arial" w:cs="Arial" w:eastAsia="Arial" w:hAnsi="Arial"/>
          <w:b/>
          <w:bCs/>
          <w:color w:val="1F3A5F"/>
          <w:sz w:val="32"/>
          <w:szCs w:val="32"/>
          <w:rtl/>
        </w:rPr>
        <w:t xml:space="preserve">5. النماذج الأولية منخفضة الدقة</w:t>
      </w:r>
      <w:bookmarkEnd w:id="9"/>
    </w:p>
    <w:p>
      <w:pPr>
        <w:bidi/>
        <w:spacing w:after="110" w:before="0" w:line="312"/>
      </w:pPr>
      <w:r>
        <w:rPr>
          <w:rFonts w:ascii="Arial" w:cs="Arial" w:eastAsia="Arial" w:hAnsi="Arial"/>
          <w:b w:val="false"/>
          <w:bCs w:val="false"/>
          <w:sz w:val="21"/>
          <w:szCs w:val="21"/>
          <w:rtl/>
        </w:rPr>
        <w:t xml:space="preserve">الأسماء والعناوين في الأمثلة افتراضية.</w:t>
      </w:r>
    </w:p>
    <w:p>
      <w:pPr>
        <w:pStyle w:val="Heading2"/>
        <w:bidi/>
      </w:pPr>
      <w:bookmarkStart w:name="_sec10" w:id="10"/>
      <w:r>
        <w:rPr>
          <w:rFonts w:ascii="Arial" w:cs="Arial" w:eastAsia="Arial" w:hAnsi="Arial"/>
          <w:b/>
          <w:bCs/>
          <w:color w:val="2B5C8A"/>
          <w:sz w:val="26"/>
          <w:szCs w:val="26"/>
          <w:rtl/>
        </w:rPr>
        <w:t xml:space="preserve">5.1 الدخول (SCR-PLT-01)</w:t>
      </w:r>
      <w:bookmarkEnd w:id="1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Sign in to &lt;Tenant name&gt;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Email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[__________________________________________________]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[__________________________________________] [Show]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Sign in ]                           Forgot password?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Invalid email or password.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72"/>
        <w:gridCol w:w="5192"/>
      </w:tblGrid>
      <w:tr>
        <w:trPr>
          <w:cantSplit/>
          <w:tblHeader/>
        </w:trPr>
        <w:tc>
          <w:tcPr>
            <w:tcW w:type="dxa" w:w="4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5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 in</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الدخول</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Email ·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 كلمة المرور</w:t>
            </w:r>
          </w:p>
        </w:tc>
      </w:tr>
      <w:tr>
        <w:trPr>
          <w:cantSplit/>
        </w:trPr>
        <w:tc>
          <w:tcPr>
            <w:tcW w:type="dxa" w:w="4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Forgot password?</w:t>
            </w:r>
          </w:p>
        </w:tc>
        <w:tc>
          <w:tcPr>
            <w:tcW w:type="dxa" w:w="5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نسيت كلمة المرور؟</w:t>
            </w:r>
          </w:p>
        </w:tc>
      </w:tr>
      <w:tr>
        <w:trPr>
          <w:cantSplit/>
        </w:trPr>
        <w:tc>
          <w:tcPr>
            <w:tcW w:type="dxa" w:w="46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Invalid email or password.</w:t>
            </w:r>
          </w:p>
        </w:tc>
        <w:tc>
          <w:tcPr>
            <w:tcW w:type="dxa" w:w="5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الإلكتروني أو كلمة المرور غير صحيحة.</w:t>
            </w:r>
          </w:p>
        </w:tc>
      </w:tr>
    </w:tbl>
    <w:p>
      <w:pPr>
        <w:bidi/>
        <w:spacing w:after="120" w:before="0"/>
      </w:pPr>
    </w:p>
    <w:p>
      <w:pPr>
        <w:bidi/>
        <w:spacing w:after="110" w:before="0" w:line="312"/>
      </w:pPr>
      <w:r>
        <w:rPr>
          <w:rFonts w:ascii="Arial" w:cs="Arial" w:eastAsia="Arial" w:hAnsi="Arial"/>
          <w:b w:val="false"/>
          <w:bCs w:val="false"/>
          <w:sz w:val="21"/>
          <w:szCs w:val="21"/>
          <w:rtl/>
        </w:rPr>
        <w:t xml:space="preserve">رسالة الخطأ واحدة لكل فشل، ومنه الحساب المقفل والبريد غير المسجّل (FR-PLT-012، الخطأ 50005 في db/static/030_session_context.sql:140). لا تظهر عبارة «الحساب مقفل» في هذه الشاشة.</w:t>
      </w:r>
    </w:p>
    <w:p>
      <w:pPr>
        <w:pStyle w:val="Heading2"/>
        <w:bidi/>
      </w:pPr>
      <w:bookmarkStart w:name="_sec11" w:id="11"/>
      <w:r>
        <w:rPr>
          <w:rFonts w:ascii="Arial" w:cs="Arial" w:eastAsia="Arial" w:hAnsi="Arial"/>
          <w:b/>
          <w:bCs/>
          <w:color w:val="2B5C8A"/>
          <w:sz w:val="26"/>
          <w:szCs w:val="26"/>
          <w:rtl/>
        </w:rPr>
        <w:t xml:space="preserve">5.2 التحقق بخطوتين (SCR-PLT-02)</w:t>
      </w:r>
      <w:bookmarkEnd w:id="11"/>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Two-step verification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Enter the 6-digit code from your authenticator app.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Verification code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_ _ _ _ _ _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 a recovery code instead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Back to sign 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mode: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Recovery code [______________]  [ Verify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Each code works once. Codes left after use are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Two-step verification</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بخطوتين</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Verification code</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التحقق</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Authenticator app</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المصادقة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a recovery code instead</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رمز استرداد بدلًا من ذلك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 code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قائمة المستخدمين (SCR-PLT-07)</w:t>
      </w:r>
      <w:bookmarkEnd w:id="12"/>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Users                                              [ Invite user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name or email___]  Status [All v]  Role [All v]  Dept [All v]|</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Name         | Email            | Status   | Roles    | Last sign-in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One     | u1@example.com   | Active   | TM       | 2026-10-11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Two     | u2@example.com   | Locked   | TE       | 2026-10-09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User Three   | u3@example.com   | Invited  | TA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Disable | Unlock | Reset MFA | End sessions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Showing 1-3 of 3                                         &lt; 1 &gt;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298"/>
        <w:gridCol w:w="4566"/>
      </w:tblGrid>
      <w:tr>
        <w:trPr>
          <w:cantSplit/>
          <w:tblHeader/>
        </w:trPr>
        <w:tc>
          <w:tcPr>
            <w:tcW w:type="dxa" w:w="52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 user</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مستخدم</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Invited · Active · Locked · Disabled · Archived</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مدعو · فعّال · مقفل · معطّل · مؤرشف</w:t>
            </w:r>
          </w:p>
        </w:tc>
      </w:tr>
      <w:tr>
        <w:trPr>
          <w:cantSplit/>
        </w:trPr>
        <w:tc>
          <w:tcPr>
            <w:tcW w:type="dxa" w:w="52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sign-in</w:t>
            </w:r>
          </w:p>
        </w:tc>
        <w:tc>
          <w:tcPr>
            <w:tcW w:type="dxa" w:w="4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دخول</w:t>
            </w:r>
          </w:p>
        </w:tc>
      </w:tr>
      <w:tr>
        <w:trPr>
          <w:cantSplit/>
        </w:trPr>
        <w:tc>
          <w:tcPr>
            <w:tcW w:type="dxa" w:w="52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Unlock · Reset MFA · End sessions</w:t>
            </w:r>
          </w:p>
        </w:tc>
        <w:tc>
          <w:tcPr>
            <w:tcW w:type="dxa" w:w="4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القفل · إعادة تعيين MFA · إنهاء الجلسات</w:t>
            </w:r>
          </w:p>
        </w:tc>
      </w:tr>
    </w:tbl>
    <w:p>
      <w:pPr>
        <w:bidi/>
        <w:spacing w:after="120" w:before="0"/>
      </w:pPr>
    </w:p>
    <w:p>
      <w:pPr>
        <w:bidi/>
        <w:spacing w:after="110" w:before="0" w:line="312"/>
      </w:pPr>
      <w:r>
        <w:rPr>
          <w:rFonts w:ascii="Arial" w:cs="Arial" w:eastAsia="Arial" w:hAnsi="Arial"/>
          <w:b w:val="false"/>
          <w:bCs w:val="false"/>
          <w:sz w:val="21"/>
          <w:szCs w:val="21"/>
          <w:rtl/>
        </w:rPr>
        <w:t xml:space="preserve">Disable وReset MFA يطلبان سببًا وتأكيدًا (UC-PLT-13). تعطيل آخر مدير حساب فعّال يُرفض برسالة واضحة.</w:t>
      </w:r>
    </w:p>
    <w:p>
      <w:pPr>
        <w:pStyle w:val="Heading2"/>
        <w:bidi/>
      </w:pPr>
      <w:bookmarkStart w:name="_sec13" w:id="13"/>
      <w:r>
        <w:rPr>
          <w:rFonts w:ascii="Arial" w:cs="Arial" w:eastAsia="Arial" w:hAnsi="Arial"/>
          <w:b/>
          <w:bCs/>
          <w:color w:val="2B5C8A"/>
          <w:sz w:val="26"/>
          <w:szCs w:val="26"/>
          <w:rtl/>
        </w:rPr>
        <w:t xml:space="preserve">5.4 بطاقة المستخدم: تبويب الأدوار (SCR-PLT-08)</w:t>
      </w:r>
      <w:bookmarkEnd w:id="1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&lt; Users    User Two (u2@example.com)               Status: Locked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[Unlock] [Reset MFA] [End sessions] [Disable]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 Roles | Company scope | Sessions | Activity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Roles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[x] Treasury employee (TE)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Treasury manager (TM)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Facilities officer (FO)     (!) sensitive - extra confirmation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Tenant administrator (TA)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 Auditor (AU)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Effective permissions = union of roles            [View list]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Save ]  [ Cancel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Profile tab: Display name (EN), Display name (AR), Department,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Line manager, Preferred language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829"/>
        <w:gridCol w:w="4035"/>
      </w:tblGrid>
      <w:tr>
        <w:trPr>
          <w:cantSplit/>
          <w:tblHeader/>
        </w:trPr>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manager (TM)</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 officer (FO)</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 employee (TE)</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(TA)</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 المشترك</w:t>
            </w:r>
          </w:p>
        </w:tc>
      </w:tr>
      <w:tr>
        <w:trPr>
          <w:cantSplit/>
        </w:trPr>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Effective permissions</w:t>
            </w:r>
          </w:p>
        </w:tc>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الفعلية</w:t>
            </w:r>
          </w:p>
        </w:tc>
      </w:tr>
      <w:tr>
        <w:trPr>
          <w:cantSplit/>
        </w:trPr>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manager</w:t>
            </w:r>
          </w:p>
        </w:tc>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 المباشر</w:t>
            </w:r>
          </w:p>
        </w:tc>
      </w:tr>
    </w:tbl>
    <w:p>
      <w:pPr>
        <w:bidi/>
        <w:spacing w:after="120" w:before="0"/>
      </w:pPr>
    </w:p>
    <w:p>
      <w:pPr>
        <w:bidi/>
        <w:spacing w:after="110" w:before="0" w:line="312"/>
      </w:pPr>
      <w:r>
        <w:rPr>
          <w:rFonts w:ascii="Arial" w:cs="Arial" w:eastAsia="Arial" w:hAnsi="Arial"/>
          <w:b w:val="false"/>
          <w:bCs w:val="false"/>
          <w:sz w:val="21"/>
          <w:szCs w:val="21"/>
          <w:rtl/>
        </w:rPr>
        <w:t xml:space="preserve">إسناد TM أو FO يطلب تأكيدًا ثانيًا ويُدقَّق بشدة عالية (UC-PLT-14). صلاحية 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تُمنح هنا لأي دور آخر (BR-PLT-019).</w:t>
      </w:r>
    </w:p>
    <w:p>
      <w:pPr>
        <w:pStyle w:val="Heading2"/>
        <w:bidi/>
      </w:pPr>
      <w:bookmarkStart w:name="_sec14" w:id="14"/>
      <w:r>
        <w:rPr>
          <w:rFonts w:ascii="Arial" w:cs="Arial" w:eastAsia="Arial" w:hAnsi="Arial"/>
          <w:b/>
          <w:bCs/>
          <w:color w:val="2B5C8A"/>
          <w:sz w:val="26"/>
          <w:szCs w:val="26"/>
          <w:rtl/>
        </w:rPr>
        <w:t xml:space="preserve">5.5 قائمة المشتركين في لوحة المشغّل (SCR-PLT-52)</w:t>
      </w:r>
      <w:bookmarkEnd w:id="14"/>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BankFas Operator console                    [Operator v] [Sign out]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Tenants                                         [ Create tenant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[Search code or name___]  Status [All v]  Plan [All v]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Code    | Name     | Plan   | Status    | Users  | Cos | Trial ends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demo-a  | Demo A   | Plan 1 | Trial     | 4      | 2   | 2026-11-09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demo-b  | Demo B   | Plan 2 | Active    | 46 (!) | 9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demo-c  | Demo C   | Plan 1 | Suspended | 3      | 1   | -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Row actions: Open | Activate | Extend trial | Suspend | Reactivate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Close                                                 |</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 soft limit at 90% or more. No business data is shown.            |</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426"/>
        <w:gridCol w:w="4438"/>
      </w:tblGrid>
      <w:tr>
        <w:trPr>
          <w:cantSplit/>
          <w:tblHeader/>
        </w:trPr>
        <w:tc>
          <w:tcPr>
            <w:tcW w:type="dxa" w:w="5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4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المقابل العربي</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 console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 · Create tenant</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 إنشاء مشترك</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الباقة</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 (read-only)</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تجريبي · فعّال · معلّق · مغلق · مؤرشف (قراءة فقط)</w:t>
            </w:r>
          </w:p>
        </w:tc>
      </w:tr>
      <w:tr>
        <w:trPr>
          <w:cantSplit/>
        </w:trPr>
        <w:tc>
          <w:tcPr>
            <w:tcW w:type="dxa" w:w="5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Extend trial · Suspend · Reactivate · Close</w:t>
            </w:r>
          </w:p>
        </w:tc>
        <w:tc>
          <w:tcPr>
            <w:tcW w:type="dxa" w:w="4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 تعليق · إعادة تفعيل · إغلاق</w:t>
            </w:r>
          </w:p>
        </w:tc>
      </w:tr>
      <w:tr>
        <w:trPr>
          <w:cantSplit/>
        </w:trPr>
        <w:tc>
          <w:tcPr>
            <w:tcW w:type="dxa" w:w="5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Cos (Companies)</w:t>
            </w:r>
          </w:p>
        </w:tc>
        <w:tc>
          <w:tcPr>
            <w:tcW w:type="dxa" w:w="4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r>
    </w:tbl>
    <w:p>
      <w:pPr>
        <w:bidi/>
        <w:spacing w:after="120" w:before="0"/>
      </w:pPr>
    </w:p>
    <w:p>
      <w:pPr>
        <w:bidi/>
        <w:spacing w:after="110" w:before="0" w:line="312"/>
      </w:pPr>
      <w:r>
        <w:rPr>
          <w:rFonts w:ascii="Arial" w:cs="Arial" w:eastAsia="Arial" w:hAnsi="Arial"/>
          <w:b w:val="false"/>
          <w:bCs w:val="false"/>
          <w:sz w:val="21"/>
          <w:szCs w:val="21"/>
          <w:rtl/>
        </w:rPr>
        <w:t xml:space="preserve">Suspend يطلب سببًا (db/model/10-platform.model:53). العدّادات تحتاج إجراء تجميع مُراجَعًا لأن tp_platform لا يقرأ جداول المشترك (UC-PLT-05).</w:t>
      </w:r>
    </w:p>
    <w:p>
      <w:pPr>
        <w:pStyle w:val="Heading1"/>
        <w:bidi/>
      </w:pPr>
      <w:bookmarkStart w:name="_sec15" w:id="15"/>
      <w:r>
        <w:rPr>
          <w:rFonts w:ascii="Arial" w:cs="Arial" w:eastAsia="Arial" w:hAnsi="Arial"/>
          <w:b/>
          <w:bCs/>
          <w:color w:val="1F3A5F"/>
          <w:sz w:val="32"/>
          <w:szCs w:val="32"/>
          <w:rtl/>
        </w:rPr>
        <w:t xml:space="preserve">6. قواعد مشتركة للشاشات</w:t>
      </w:r>
      <w:bookmarkEnd w:id="15"/>
    </w:p>
    <w:p>
      <w:pPr>
        <w:pStyle w:val="ListParagraph"/>
        <w:numPr>
          <w:ilvl w:val="0"/>
          <w:numId w:val="2"/>
        </w:numPr>
        <w:bidi/>
        <w:spacing w:after="70" w:before="0" w:line="300"/>
      </w:pPr>
      <w:r>
        <w:rPr>
          <w:rFonts w:ascii="Arial" w:cs="Arial" w:eastAsia="Arial" w:hAnsi="Arial"/>
          <w:b w:val="false"/>
          <w:bCs w:val="false"/>
          <w:sz w:val="21"/>
          <w:szCs w:val="21"/>
          <w:rtl/>
        </w:rPr>
        <w:t xml:space="preserve">كل نص مرئي من ملف موارد بمفتاح إنجليزي؛ لا نص ثابت في الكود (FR-PLT-032). اختبار آلي يبدّل إلى RTL ولا يكسر أي صفحة.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الأرقام الغربية افتراضيًا، وتفضيل المستخدم يغيّر العرض لا التخزين (FR-PLT-034). التاريخ الهجري يُعرض بحسب Tenant.CalendarDisplay (db/model/10-platform.model:41).</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الأفعال الحساسة بتأكيد مضاعف، والتصدير الحساس بإعادة مصادقة (FR-PLT-014).</w:t>
      </w:r>
    </w:p>
    <w:p>
      <w:pPr>
        <w:pStyle w:val="ListParagraph"/>
        <w:numPr>
          <w:ilvl w:val="0"/>
          <w:numId w:val="2"/>
        </w:numPr>
        <w:bidi/>
        <w:spacing w:after="70" w:before="0" w:line="300"/>
      </w:pPr>
      <w:r>
        <w:rPr>
          <w:rFonts w:ascii="Arial" w:cs="Arial" w:eastAsia="Arial" w:hAnsi="Arial"/>
          <w:b w:val="false"/>
          <w:bCs w:val="false"/>
          <w:sz w:val="21"/>
          <w:szCs w:val="21"/>
          <w:rtl/>
        </w:rPr>
        <w:t xml:space="preserve">خانة الصلاحية المقفلة معطّلة مع سبب: «Locked by the platform to TM and FO» (BR-PLT-019).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الأخطاء بنموذج DOC-B04؛ وبلا صلاحية 403، وخارج النطاق 404 (FR-PLT-021).</w:t>
      </w:r>
    </w:p>
    <w:p>
      <w:pPr>
        <w:pStyle w:val="ListParagraph"/>
        <w:numPr>
          <w:ilvl w:val="0"/>
          <w:numId w:val="2"/>
        </w:numPr>
        <w:bidi/>
        <w:spacing w:after="70" w:before="0" w:line="300"/>
      </w:pPr>
      <w:r>
        <w:rPr>
          <w:rFonts w:ascii="Arial" w:cs="Arial" w:eastAsia="Arial" w:hAnsi="Arial"/>
          <w:b w:val="false"/>
          <w:bCs w:val="false"/>
          <w:sz w:val="21"/>
          <w:szCs w:val="21"/>
          <w:rtl/>
        </w:rPr>
        <w:t xml:space="preserve">لوحة المفاتيح وقارئ الشاشة مدعومان (docs/10-detailed-analysis/00-overview-and-cross-cutting.md:172).</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القرارات المطلوبة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15"/>
        <w:gridCol w:w="1715"/>
        <w:gridCol w:w="3432"/>
        <w:gridCol w:w="1501"/>
        <w:gridCol w:w="1501"/>
      </w:tblGrid>
      <w:tr>
        <w:trPr>
          <w:cantSplit/>
          <w:tblHeader/>
        </w:trPr>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4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5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تضييق فقط، و«All companies in my scope» افتراضيًا، ومخفي في S0</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UX</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DQ-B07-2</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اصطلاح ترقيم الشاشات</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إلى 49 للبوابة، و51 إلى 99 للوحة المشغّل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DQ-B07-3</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 الشاشات الجديدة إلى §7.1 في 10-m0-m1</w:t>
            </w:r>
          </w:p>
        </w:tc>
        <w:tc>
          <w:tcPr>
            <w:tcW w:type="dxa" w:w="34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تُضم SCR-PLT-04، 05، 06، 14، 15، 16، 51، 53، 56</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15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S0</w:t>
            </w:r>
          </w:p>
        </w:tc>
      </w:tr>
      <w:tr>
        <w:trPr>
          <w:cantSplit/>
        </w:trPr>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34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يُعرض دائمًا، والسلوك في SUSPENDED بعد حسم O-18 (erd_open_items)</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15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تعارضات وفجوات في المصادر</w:t>
      </w:r>
      <w:bookmarkEnd w:id="17"/>
    </w:p>
    <w:p>
      <w:pPr>
        <w:pStyle w:val="ListParagraph"/>
        <w:numPr>
          <w:ilvl w:val="0"/>
          <w:numId w:val="3"/>
        </w:numPr>
        <w:bidi/>
        <w:spacing w:after="70" w:before="0" w:line="300"/>
      </w:pPr>
      <w:r>
        <w:rPr>
          <w:rFonts w:ascii="Arial" w:cs="Arial" w:eastAsia="Arial" w:hAnsi="Arial"/>
          <w:b w:val="false"/>
          <w:bCs w:val="false"/>
          <w:sz w:val="21"/>
          <w:szCs w:val="21"/>
          <w:rtl/>
        </w:rPr>
        <w:t xml:space="preserve">المعمارية في 00 ترسم «واجهة ويب RTL عربي/إنجليزي» (docs/10-detailed-analysis/00-overview-and-cross-cutting.md:107)، وهدف الوصول «عربية RTL كاملة» (:172)، والخطوة التالية «تصميم الواجهات (RTL)» (:353)؛ وكلها تخالف FR-PLT-032 (الإنجليزية LTR أولًا) وقرار 2026-10-10 (:320).</w:t>
      </w:r>
    </w:p>
    <w:p>
      <w:pPr>
        <w:pStyle w:val="ListParagraph"/>
        <w:numPr>
          <w:ilvl w:val="0"/>
          <w:numId w:val="3"/>
        </w:numPr>
        <w:bidi/>
        <w:spacing w:after="70" w:before="0" w:line="300"/>
      </w:pPr>
      <w:r>
        <w:rPr>
          <w:rFonts w:ascii="Arial" w:cs="Arial" w:eastAsia="Arial" w:hAnsi="Arial"/>
          <w:b w:val="false"/>
          <w:bCs w:val="false"/>
          <w:sz w:val="21"/>
          <w:szCs w:val="21"/>
          <w:rtl/>
        </w:rPr>
        <w:t xml:space="preserve">افتراض Q-PLT-05 في 00 «عربية كاملة؛ الإنجليزية للأسماء والمطبوعات فقط» (docs/10-detailed-analysis/00-overview-and-cross-cutting.md:303) قديم، والقرار في :320.</w:t>
      </w:r>
    </w:p>
    <w:p>
      <w:pPr>
        <w:pStyle w:val="ListParagraph"/>
        <w:numPr>
          <w:ilvl w:val="0"/>
          <w:numId w:val="3"/>
        </w:numPr>
        <w:bidi/>
        <w:spacing w:after="70" w:before="0" w:line="300"/>
      </w:pPr>
      <w:r>
        <w:rPr>
          <w:rFonts w:ascii="Arial" w:cs="Arial" w:eastAsia="Arial" w:hAnsi="Arial"/>
          <w:b w:val="false"/>
          <w:bCs w:val="false"/>
          <w:sz w:val="21"/>
          <w:szCs w:val="21"/>
          <w:rtl/>
        </w:rPr>
        <w:t xml:space="preserve">§7.1 بلا شاشات لقبول الدعوة وتسجيل MFA ودخول المشغّل وحسابات المشغّلين والمهام (docs/10-detailed-analysis/10-m0-m1-platform-organization.md:371-398).</w:t>
      </w:r>
    </w:p>
    <w:p>
      <w:pPr>
        <w:pStyle w:val="ListParagraph"/>
        <w:numPr>
          <w:ilvl w:val="0"/>
          <w:numId w:val="3"/>
        </w:numPr>
        <w:bidi/>
        <w:spacing w:after="70" w:before="0" w:line="300"/>
      </w:pPr>
      <w:r>
        <w:rPr>
          <w:rFonts w:ascii="Arial" w:cs="Arial" w:eastAsia="Arial" w:hAnsi="Arial"/>
          <w:b w:val="false"/>
          <w:bCs w:val="false"/>
          <w:sz w:val="21"/>
          <w:szCs w:val="21"/>
          <w:rtl/>
        </w:rPr>
        <w:t xml:space="preserve">نمط النطاق الافتراضي SELECTED (db/model/10-platform.model:119)، ولا شركات في S0، فشاشة النطاق ومبدّل الشركة بلا محتوى في S0 (DQ-F07-2).</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عدّادات قائمة المشتركين تحتاج بيانات المشترك، وtp_platform بلا وصول إليها (docs/20-database-design.md:24).</w:t>
      </w:r>
    </w:p>
    <w:p>
      <w:pPr>
        <w:bidi/>
        <w:spacing w:after="60" w:before="0"/>
      </w:pPr>
    </w:p>
    <w:p>
      <w:pPr>
        <w:pStyle w:val="Heading1"/>
        <w:bidi/>
      </w:pPr>
      <w:bookmarkStart w:name="_sec18" w:id="18"/>
      <w:r>
        <w:rPr>
          <w:rFonts w:ascii="Arial" w:cs="Arial" w:eastAsia="Arial" w:hAnsi="Arial"/>
          <w:b/>
          <w:bCs/>
          <w:color w:val="1F3A5F"/>
          <w:sz w:val="32"/>
          <w:szCs w:val="32"/>
          <w:rtl/>
        </w:rPr>
        <w:t xml:space="preserve">9. التتبع</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58"/>
        <w:gridCol w:w="2144"/>
        <w:gridCol w:w="3218"/>
        <w:gridCol w:w="2144"/>
      </w:tblGrid>
      <w:tr>
        <w:trPr>
          <w:cantSplit/>
          <w:tblHeader/>
        </w:trPr>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الاستخدام</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القبول</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SCR-PLT-01، 02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FR-PLT-011، FR-PLT-012، FR-PLT-046، BR-PLT-005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SCR-PLT-03</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UC-PLT-10</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UC-PLT-08</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FR-PLT-011، BR-PLT-006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UC-PLT-09</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SCR-PLT-07، 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UC-PLT-12، 13، 14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FR-PLT-018، FR-PLT-019، BR-PLT-008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AC-PLT-12، AC-PLT-2</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SCR-PLT-09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UC-PLT-15</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FR-PLT-018، FR-PLT-019، BR-PLT-019</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 AC-PTY-1</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UC-PLT-16</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BR-PLT-007</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UC-PLT-17، UC-PLT-07</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FR-PLT-007، BR-PLT-018</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 AC-PLT-8</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UC-PLT-18</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 BR-PLT-010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SCR-PLT-13</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FR-PLT-024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UC-PLT-24</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UC-PLT-23</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 FR-PLT-032</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SCR-PLT-16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FR-PLT-027…030</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SCR-PLT-52، 53، 54</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03، 04، 05</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FR-PLT-001…005، FR-PLT-008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 AC-PLT-6، 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SCR-PLT-55</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UC-PLT-06</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 BR-PLT-001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SCR-PLT-56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 FR-PLT-020، FR-PLT-032، FR-PLT-046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AC-PLT-21</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ملحق S2-ب: شاشات البيانات المالية والتحقق والتقييم (2026-10-23)</w:t>
      </w:r>
      <w:bookmarkEnd w:id="19"/>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المواصفة 12 لا تذكر شاشة للمتطلبات FR-FIN-020 إلى 049 (12m:500-512)، فأضاف الموجز SCR-FIN-06 إلى 09 (S2B-GAP-18). كل الشاشات بالعربية واتجاه اليمين إلى اليسار، والأرقام والتواريخ والرموز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14"/>
        <w:gridCol w:w="3821"/>
        <w:gridCol w:w="2687"/>
        <w:gridCol w:w="1942"/>
      </w:tblGrid>
      <w:tr>
        <w:trPr>
          <w:cantSplit/>
          <w:tblHeader/>
        </w:trPr>
        <w:tc>
          <w:tcPr>
            <w:tcW w:type="dxa" w:w="14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1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‎/financial-statements‎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‎fin.verify.run‎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والرأس، وشبكة البنود بالإجماليات الحية، واللصق بمعاينة، والوحدات، والإصدارات، ومقاييس التحليل</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الأرصدة الشهرية، والتحويلات، والتأكيد وإعادة الفتح، وإغلاق الفترات</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الصيغ، والتحقق الحي بالموضع، والمعاينة على قائمة، والإصدار والاعتماد والنسخ</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‎/reports/statement-breaches‎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SCR-FIN-01</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الخروقات والإنذارات الناشئة عن القوائم</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SCR-FIN-06</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‎/assessments/:id‎</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‎endorse‎</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الذاتي: الدرجات النوعية بمبرراتها، والحساب، والعوامل، والملاحظات، والمعالجات، والتقديم والاعتماد والإعادة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SCR-FIN-07</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‎/presentation-versions‎</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المعالجات بخطواتها، والبناء، والاختيار بسبب</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SCR-FIN-08</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‎/assessments/:id/readiness‎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‎/lender-ratings‎</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صلاحيات التقييم الثلاث</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والتصديق مع أسباب المنع، وحزمة الأدلة وبصمتها، وتصنيفات البنوك والفرق ومواضع الافتراق والمعايرة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SCR-FIN-09</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‎/provision‎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‎fin.formula.approve‎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‎fin.credit.assess‎</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الخسارة واعتمادها، وفحص المخصص لكل قائمة</w:t>
            </w:r>
          </w:p>
        </w:tc>
      </w:tr>
      <w:tr>
        <w:trPr>
          <w:cantSplit/>
        </w:trPr>
        <w:tc>
          <w:tcPr>
            <w:tcW w:type="dxa" w:w="14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w:t>
            </w:r>
          </w:p>
        </w:tc>
        <w:tc>
          <w:tcPr>
            <w:tcW w:type="dxa" w:w="3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التعهدات ونتائجها و«لماذا هذه النتيجة؟»</w:t>
            </w:r>
          </w:p>
        </w:tc>
      </w:tr>
      <w:tr>
        <w:trPr>
          <w:cantSplit/>
        </w:trPr>
        <w:tc>
          <w:tcPr>
            <w:tcW w:type="dxa" w:w="14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w:t>
            </w:r>
          </w:p>
        </w:tc>
        <w:tc>
          <w:tcPr>
            <w:tcW w:type="dxa" w:w="3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التسهيل، و</w:t>
            </w:r>
            <w:r>
              <w:rPr>
                <w:rFonts w:ascii="Courier New" w:cs="Courier New" w:eastAsia="Courier New" w:hAnsi="Courier New"/>
                <w:b w:val="false"/>
                <w:bCs w:val="false"/>
                <w:color w:val="1F2937"/>
                <w:sz w:val="16"/>
                <w:szCs w:val="16"/>
                <w:shd w:fill="F1F3F5" w:color="auto" w:val="clear"/>
                <w:rtl/>
              </w:rPr>
              <w:t xml:space="preserve">‎/reports/compliance‎</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1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الامتثال بالقاعدة BR-OBL-010 في تاريخ: اللون وأسبابه، والعائلات، والمقاييس وتقييماتها ومخالفاتها؛ وR-OBL-05 للمجموعة بحسب اللون</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 ورسائلها تُترجم من </w:t>
      </w:r>
      <w:r>
        <w:rPr>
          <w:rFonts w:ascii="Courier New" w:cs="Courier New" w:eastAsia="Courier New" w:hAnsi="Courier New"/>
          <w:b w:val="false"/>
          <w:bCs w:val="false"/>
          <w:color w:val="1F2937"/>
          <w:sz w:val="18"/>
          <w:szCs w:val="18"/>
          <w:shd w:fill="F1F3F5" w:color="auto" w:val="clear"/>
          <w:rtl/>
        </w:rPr>
        <w:t xml:space="preserve">‎ar.ts‎</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التقييم استرشادي داخلي.</w:t>
      </w:r>
      <w:r>
        <w:rPr>
          <w:rFonts w:ascii="Arial" w:cs="Arial" w:eastAsia="Arial" w:hAnsi="Arial"/>
          <w:b w:val="false"/>
          <w:bCs w:val="false"/>
          <w:sz w:val="21"/>
          <w:szCs w:val="21"/>
          <w:rtl/>
        </w:rPr>
        <w:t xml:space="preserve"> تعرض شاشته في رأسها أنه درجة داخلية على سلّم يحمل رموز موديز، وليس تصنيفًا من الوكالة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w:t>
      </w:r>
    </w:p>
    <w:p>
      <w:pPr>
        <w:bidi/>
        <w:spacing w:after="60" w:before="0"/>
      </w:pPr>
    </w:p>
    <w:p>
      <w:pPr>
        <w:pStyle w:val="Heading1"/>
        <w:bidi/>
      </w:pPr>
      <w:bookmarkStart w:name="_sec20" w:id="20"/>
      <w:r>
        <w:rPr>
          <w:rFonts w:ascii="Arial" w:cs="Arial" w:eastAsia="Arial" w:hAnsi="Arial"/>
          <w:b/>
          <w:bCs/>
          <w:color w:val="1F3A5F"/>
          <w:sz w:val="32"/>
          <w:szCs w:val="32"/>
          <w:rtl/>
        </w:rPr>
        <w:t xml:space="preserve">11. ملحق S3: شاشات الطلبات والاعتمادات (2026-10-23)</w:t>
      </w:r>
      <w:bookmarkEnd w:id="20"/>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الشاشات بالعربية واتجاه اليمين إلى اليسار، والأرقام والتواريخ والرموز والأرقام المرجعية باتجاه اليسار إلى اليمين، ونصوصها في </w:t>
      </w:r>
      <w:r>
        <w:rPr>
          <w:rFonts w:ascii="Courier New" w:cs="Courier New" w:eastAsia="Courier New" w:hAnsi="Courier New"/>
          <w:b w:val="false"/>
          <w:bCs w:val="false"/>
          <w:color w:val="1F2937"/>
          <w:sz w:val="18"/>
          <w:szCs w:val="18"/>
          <w:shd w:fill="F1F3F5" w:color="auto" w:val="clear"/>
          <w:rtl/>
        </w:rPr>
        <w:t xml:space="preserve">‎app/web/src/ar.ts‎</w:t>
      </w:r>
      <w:r>
        <w:rPr>
          <w:rFonts w:ascii="Arial" w:cs="Arial" w:eastAsia="Arial" w:hAnsi="Arial"/>
          <w:b w:val="false"/>
          <w:bCs w:val="false"/>
          <w:sz w:val="21"/>
          <w:szCs w:val="21"/>
          <w:rtl/>
        </w:rPr>
        <w:t xml:space="preserve">. بُنيت على افتراضات موجز S3 بانتظار اعتماد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3"/>
        <w:gridCol w:w="3917"/>
        <w:gridCol w:w="2569"/>
        <w:gridCol w:w="2155"/>
      </w:tblGrid>
      <w:tr>
        <w:trPr>
          <w:cantSplit/>
          <w:tblHeader/>
        </w:trPr>
        <w:tc>
          <w:tcPr>
            <w:tcW w:type="dxa" w:w="1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9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المسار</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تظهر في القائمة لمن يحمل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فيها</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SCR-REQ-01 إلى 03</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الطلبات، وإنشاء طلب من قالب منشور، وبطاقة الطلب بمرحلته المرئية وإجراءاته ومرفقاته وتعليقاته؛ ورابط محرر الشروط إن كان في القالب حقل </w:t>
            </w:r>
            <w:r>
              <w:rPr>
                <w:rFonts w:ascii="Courier New" w:cs="Courier New" w:eastAsia="Courier New" w:hAnsi="Courier New"/>
                <w:b w:val="false"/>
                <w:bCs w:val="false"/>
                <w:color w:val="1F2937"/>
                <w:sz w:val="16"/>
                <w:szCs w:val="16"/>
                <w:shd w:fill="F1F3F5" w:color="auto" w:val="clear"/>
                <w:rtl/>
              </w:rPr>
              <w:t xml:space="preserve">‎lc.terms‎</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‎/inbox‎</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ما ينتظرني، والطابور، والمفوَّض إليّ، والمهل</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SCR-REQ-05</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‎/delegations‎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‎req.delegate.own‎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 وإلغاؤها</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SCR-REQ-10 إلى 12</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‎/dashboards‎</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‎req.view.own‎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مقدّم الطلب (المفتوح، وما ينتظرني، والمعاد، وما انتهى مؤخرًا)؛ ولوحة موظف الخزينة (مهامي، والطابور، والمتأخر، وما في البنك)؛ ولوحة مدير الخزينة (الموافقات بالمتاح على الخط، وتجاوزات المهل، وقِدم الطابور، وحمل كل موظف، والحجوزات القديمة). ويختار المستخدم اللوحة إن حمل أكثر من صلاحية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SCR-LCT-01</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‎/requests/:id/terms‎</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يفتح الطلب (الواجهة البرمجية تفرض التعديل)</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الشروط بأقسامه: الحقول بقوائمها، واختيار المستفيد، ورقم IBAN (يُعرض مقنّعًا)، والمستندات المطلوبة من مكتبة البنود، ونموذج الرسوم، والملاحظات، ورابط الطباعة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SCR-LCT-05</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‎/api/v1/requests/:id/terms/print‎</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الشروط المطبوعة: مراجع UCP، ونجمة على المادة غير المحققة وحاشيتها، وشريط «لم يُراجَع قانونيًا» على البند، والمبلغ كتابة، والبصمة</w:t>
            </w:r>
          </w:p>
        </w:tc>
      </w:tr>
      <w:tr>
        <w:trPr>
          <w:cantSplit/>
        </w:trPr>
        <w:tc>
          <w:tcPr>
            <w:tcW w:type="dxa" w:w="1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SCR-LCT-08</w:t>
            </w:r>
          </w:p>
        </w:tc>
        <w:tc>
          <w:tcPr>
            <w:tcW w:type="dxa" w:w="39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‎/lc-form-templates/:id‎</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‎lc.print‎</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بإصداراتها وحالاتها، وربط حقول القالب (الهدف والمصدر والتحويل والإلزام). للقراءة فقط؛ والكتابة والتفعيل عبر الواجهة البرمجية</w:t>
            </w:r>
          </w:p>
        </w:tc>
      </w:tr>
      <w:tr>
        <w:trPr>
          <w:cantSplit/>
        </w:trPr>
        <w:tc>
          <w:tcPr>
            <w:tcW w:type="dxa" w:w="1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SCR-LCI-13 و14</w:t>
            </w:r>
          </w:p>
        </w:tc>
        <w:tc>
          <w:tcPr>
            <w:tcW w:type="dxa" w:w="39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‎/lcs/:id‎</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إحدى </w:t>
            </w: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‎lc.view.own‎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بالبحث والحالة، وبطاقة الاعتماد بالتقديمات وقرارها وسدادها، والتعديلات، والإغلاق اليدوي. والتسهيل والهامش والاستخدام لحامل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وحده</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w:t>
      </w:r>
    </w:p>
    <w:p>
      <w:pPr>
        <w:pStyle w:val="ListParagraph"/>
        <w:numPr>
          <w:ilvl w:val="0"/>
          <w:numId w:val="2"/>
        </w:numPr>
        <w:bidi/>
        <w:spacing w:after="70" w:before="0" w:line="300"/>
      </w:pPr>
      <w:r>
        <w:rPr>
          <w:rFonts w:ascii="Arial" w:cs="Arial" w:eastAsia="Arial" w:hAnsi="Arial"/>
          <w:b/>
          <w:bCs/>
          <w:sz w:val="21"/>
          <w:szCs w:val="21"/>
          <w:rtl/>
        </w:rPr>
        <w:t xml:space="preserve">الشاشات تفحص الصلاحية للعرض فقط.</w:t>
      </w:r>
      <w:r>
        <w:rPr>
          <w:rFonts w:ascii="Arial" w:cs="Arial" w:eastAsia="Arial" w:hAnsi="Arial"/>
          <w:b w:val="false"/>
          <w:bCs w:val="false"/>
          <w:sz w:val="21"/>
          <w:szCs w:val="21"/>
          <w:rtl/>
        </w:rPr>
        <w:t xml:space="preserve"> الواجهة البرمجية هي التي تفرضها.</w:t>
      </w:r>
    </w:p>
    <w:p>
      <w:pPr>
        <w:pStyle w:val="ListParagraph"/>
        <w:numPr>
          <w:ilvl w:val="0"/>
          <w:numId w:val="2"/>
        </w:numPr>
        <w:bidi/>
        <w:spacing w:after="70" w:before="0" w:line="300"/>
      </w:pPr>
      <w:r>
        <w:rPr>
          <w:rFonts w:ascii="Arial" w:cs="Arial" w:eastAsia="Arial" w:hAnsi="Arial"/>
          <w:b/>
          <w:bCs/>
          <w:sz w:val="21"/>
          <w:szCs w:val="21"/>
          <w:rtl/>
        </w:rPr>
        <w:t xml:space="preserve">الصفحة المطبوعة لها سياسة CSP خاصة</w:t>
      </w:r>
      <w:r>
        <w:rPr>
          <w:rFonts w:ascii="Arial" w:cs="Arial" w:eastAsia="Arial" w:hAnsi="Arial"/>
          <w:b w:val="false"/>
          <w:bCs w:val="false"/>
          <w:sz w:val="21"/>
          <w:szCs w:val="21"/>
          <w:rtl/>
        </w:rPr>
        <w:t xml:space="preserve"> تسمح بنمطها المضمَّن ببصمته وحدها، ولا تحمّل نصًا برمجيًا.</w:t>
      </w:r>
    </w:p>
    <w:p>
      <w:pPr>
        <w:pStyle w:val="ListParagraph"/>
        <w:numPr>
          <w:ilvl w:val="0"/>
          <w:numId w:val="2"/>
        </w:numPr>
        <w:bidi/>
        <w:spacing w:after="70" w:before="0" w:line="300"/>
      </w:pPr>
      <w:r>
        <w:rPr>
          <w:rFonts w:ascii="Arial" w:cs="Arial" w:eastAsia="Arial" w:hAnsi="Arial"/>
          <w:b/>
          <w:bCs/>
          <w:sz w:val="21"/>
          <w:szCs w:val="21"/>
          <w:rtl/>
        </w:rPr>
        <w:t xml:space="preserve">مرجع المنصة للتسهيل (BR-FAC-021).</w:t>
      </w:r>
      <w:r>
        <w:rPr>
          <w:rFonts w:ascii="Arial" w:cs="Arial" w:eastAsia="Arial" w:hAnsi="Arial"/>
          <w:b w:val="false"/>
          <w:bCs w:val="false"/>
          <w:sz w:val="21"/>
          <w:szCs w:val="21"/>
          <w:rtl/>
        </w:rPr>
        <w:t xml:space="preserve"> قائمة التسهيلات وبطاقته تعرضان المرجع </w:t>
      </w:r>
      <w:r>
        <w:rPr>
          <w:rFonts w:ascii="Courier New" w:cs="Courier New" w:eastAsia="Courier New" w:hAnsi="Courier New"/>
          <w:b w:val="false"/>
          <w:bCs w:val="false"/>
          <w:color w:val="1F2937"/>
          <w:sz w:val="18"/>
          <w:szCs w:val="18"/>
          <w:shd w:fill="F1F3F5" w:color="auto" w:val="clear"/>
          <w:rtl/>
        </w:rPr>
        <w:t xml:space="preserve">‎IMP-SNB-CAP-26‎</w:t>
      </w:r>
      <w:r>
        <w:rPr>
          <w:rFonts w:ascii="Arial" w:cs="Arial" w:eastAsia="Arial" w:hAnsi="Arial"/>
          <w:b w:val="false"/>
          <w:bCs w:val="false"/>
          <w:sz w:val="21"/>
          <w:szCs w:val="21"/>
          <w:rtl/>
        </w:rPr>
        <w:t xml:space="preserve"> متى كُتب، وقبله معاينته وما ينقصه. ونموذج التسهيل الجديد وتعديل رأسه فيهما «الفئة في المرجع». وبطاقة الشركة ونموذجها فيهما «رمز المرجع»، وكذلك بطاقة المنشأة ونموذجها ومعالج إعداد البنك.</w:t>
      </w:r>
    </w:p>
    <w:p>
      <w:pPr>
        <w:pStyle w:val="ListParagraph"/>
        <w:numPr>
          <w:ilvl w:val="0"/>
          <w:numId w:val="2"/>
        </w:numPr>
        <w:bidi/>
        <w:spacing w:after="70" w:before="0" w:line="300"/>
      </w:pPr>
      <w:r>
        <w:rPr>
          <w:rFonts w:ascii="Arial" w:cs="Arial" w:eastAsia="Arial" w:hAnsi="Arial"/>
          <w:b/>
          <w:bCs/>
          <w:sz w:val="21"/>
          <w:szCs w:val="21"/>
          <w:rtl/>
        </w:rPr>
        <w:t xml:space="preserve">لم تُبنَ بعد:</w:t>
      </w:r>
      <w:r>
        <w:rPr>
          <w:rFonts w:ascii="Arial" w:cs="Arial" w:eastAsia="Arial" w:hAnsi="Arial"/>
          <w:b w:val="false"/>
          <w:bCs w:val="false"/>
          <w:sz w:val="21"/>
          <w:szCs w:val="21"/>
          <w:rtl/>
        </w:rPr>
        <w:t xml:space="preserve"> شاشة كتابة قالب نموذج البنك وربط حقوله (تُكتب عبر الواجهة البرمجية الآن)، وشاشة القوالب المرئية لنماذج البنوك بتخطيطها.</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DOC-B07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e7e867d2dbafc34b7737504e5f925aabeeb1a8.png"/><Relationship Id="rId10" Type="http://schemas.openxmlformats.org/officeDocument/2006/relationships/image" Target="media/31ed743abca1cf91bfe53c50576bc1d09bc2c42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DOC-B07 — قائمة شاشات S0 وخريطة التنقل والنماذج الأولية</dc:title>
  <dc:creator>Claude</dc:creator>
  <dc:description>BankFas database design document</dc:description>
  <cp:lastModifiedBy>Un-named</cp:lastModifiedBy>
  <cp:revision>1</cp:revision>
  <dcterms:created xsi:type="dcterms:W3CDTF">2026-10-24T18:24:06.851Z</dcterms:created>
  <dcterms:modified xsi:type="dcterms:W3CDTF">2026-10-24T18:24:06.852Z</dcterms:modified>
</cp:coreProperties>
</file>

<file path=docProps/custom.xml><?xml version="1.0" encoding="utf-8"?>
<Properties xmlns="http://schemas.openxmlformats.org/officeDocument/2006/custom-properties" xmlns:vt="http://schemas.openxmlformats.org/officeDocument/2006/docPropsVTypes"/>
</file>