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DOC-B08 — مصفوفة التتبع: المتطلب والقاعدة والقبول والكيان والاختبار والشاشة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(BA lead) مع قائد ضمان الجودة (docs/30-readiness-documents.md:54)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FR في S0 وS1 (146 متطلبًا)، FR-PLT-036، BR-PLT-001، FR-PLT-041، X-SEC-4، O-09 (erd_open_items)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DOC-B01، DOC-B02، DOC-B07، DOC-F07، DOC-S13، DOC-F09 (للشرائح التالية)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docs/10-detailed-analysis/91-requirements-index.md، docs/10-detailed-analysis/10-m0-m1-platform-organization.md، 11-m2-m4-institutions-accounts-catalogs.md، 12-m5-facilities-pricing-collateral-obligations.md، 13-m6-workflow-engine-notifications.md، 14-m7-m8-letters-of-credit.md، docs/30-readiness/DOC-B02-acceptance-criteria-register-s0-s1.md، docs/30-readiness/DOC-B07-s0-screen-inventory-navigation.md، docs/30-readiness/DOC-F07-use-case-catalogue-m0-m1.md، docs/21-data-dictionary.md، db/tests/tenant_isolation_tests.sql، db/tests/fac_share_rule_tests.sql، tools/gen_indexes.py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طريقة التوليد</w:t>
        </w:r>
      </w:hyperlink>
    </w:p>
    <w:p>
      <w:pPr>
        <w:bidi/>
        <w:spacing w:after="50" w:before="0"/>
        <w:ind w:left="0"/>
      </w:pPr>
      <w:hyperlink w:history="1" w:anchor="_sec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المصفوفة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الفجوات التي تكشفها المصفوفة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قواعد إبقاء المصفوفة حديثة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القرارات المطلوبة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تربط المصفوفة كل متطلب وظيفي بقواعده وسيناريوهات قبوله وجداوله في القاعدة واختباراته وشاشاته، وتكشف ما ينقص كل حلقة.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متطلبات S0 وS1. العدد 146: 38 في S0 و108 في S1، كما في DOC-B02 §1. والـ 108 هي 107 في الفهرس (منها FR-NTF-010 وFR-NTF-019 بشريحة «S1 للتطبيق وS5 للبريد») وFR-NTF-016 بشريحة S1/S3 (docs/10-detailed-analysis/91-requirements-index.md:21-24، :407، :413، :416).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S1-ب وما بعدها، وتُضاف حين تُكتب حالات الاستخدام في DOC-F09 والشاشات في تحديث DOC-B07 (§5.1). وتتبع القرارات إلى مواضع تنفيذها في docs/10-detailed-analysis/00-overview-and-cross-cutting.md:274 (DQ-B08-9).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المصفوفة مولَّدة بسكربت من المصادر، لا مكتوبة يدويًا. كل خلية فارغة فجوة في مصدرها، لا في هذه الوثيقة.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طريقة التوليد</w:t>
      </w:r>
      <w:bookmarkEnd w:id="2"/>
    </w:p>
    <w:p>
      <w:pPr>
        <w:pStyle w:val="Heading2"/>
        <w:bidi/>
      </w:pPr>
      <w:bookmarkStart w:name="_sec3" w:id="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السلسلة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2576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قاعدة كل عمود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6"/>
        <w:gridCol w:w="5992"/>
        <w:gridCol w:w="2876"/>
      </w:tblGrid>
      <w:tr>
        <w:trPr>
          <w:cantSplit/>
          <w:tblHeader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التي أول كلمة في شريحتها S0 أو S1 أو S1/S3، بالتطبيع نفسه في tools/gen_indexes.py:14. Must لا يُكتب؛ غيره بين قوسين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وBR في الملفات 10 إلى 14؛ عناوين سيناريوهات §15 وDOC-B02 §3؛ أسطر «يغطي» وصفوف M1 في DOC-F07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مباشر: معرّف BR في صف المتطلب، أو معرّف FR في صف القاعدة. (ب) ورودهما معًا في عنوان سيناريو. (ج) ورودهما معًا في حالة استخدام. تُفك الصيغ FR-PLT-003/004 وFR-PLT-010…012 وFR-ACC-001..009 و«FR-ORG-001 إلى FR-ORG-004»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 §5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كما هي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docs/21-data-dictionary.md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قسم جدول «###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‎schema.Table‎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يذكر المتطلب في عنوانه أو ملاحظات أعمدته، بفك الصيغ نفسها. تُعرض جدولان ثم «+n»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الأتمتة في DOC-B02 §2؛ db/tests/*.sql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(أ) حالات T-n في أتمتة سيناريوهات المتطلب، والمدى بالترتيب العددي: T1-T16c يضم T8b وT16b وT16c. (ب) حالة يذكر تعليقها الافتتاحي المتطلب، أو قاعدة مرتبطة به بالقاعدة (أ) أو (ب). (ج) بعد « · » أنواع الاختبار المخطط: API، واجهة، CI، يدوي، أداء</w:t>
            </w:r>
          </w:p>
        </w:tc>
      </w:tr>
      <w:tr>
        <w:trPr>
          <w:cantSplit/>
        </w:trPr>
        <w:tc>
          <w:tcPr>
            <w:tcW w:type="dxa" w:w="9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5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§12؛ DOC-B07 §2 و§3</w:t>
            </w:r>
          </w:p>
        </w:tc>
        <w:tc>
          <w:tcPr>
            <w:tcW w:type="dxa" w:w="28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← حالة الاستخدام ← الشاشة. متطلب حالته الوحيدة «§9» في DOC-F07 يُكتب «عرضي». لا ربط عبر السيناريو، لأنه ربط مثلًا الكشف عن الهوية بشاشة الأدوار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القراءة: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الربطان (ب) و(ج) في عمود القاعدة على مستوى السيناريو أو حالة الاستخدام، فقد يربطان قاعدة بمتطلب لا تخصه. مثال: UC-PLT-09 يغطي FR-PLT-046 وBR-PLT-004، فيظهر ربطهما. يراجع محلل الأعمال هذه الروابط (DQ-B08-3).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الاختبار لا يعدّ إلا حالات القاعدة اختبارًا قائمًا. «API» وغيرها خطة من DOC-B02، لا اختبار موجود، لأن كود التطبيق غير موجود.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FSR-T1 إلى FSR-T6 لا تظهر، لأنها تخص V-FAC-02 في S2 (db/tests/fac_share_rule_tests.sql:2).</w:t>
      </w:r>
    </w:p>
    <w:p>
      <w:pPr>
        <w:bidi/>
        <w:spacing w:after="6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المدخلات والأعداد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استُعمل في كتابة هذه المسودة سكربت Python للقراءة فقط بالقواعد أعلاه، على المستودع في 2026-10-12. لم يُضف السكربت إلى المستودع؛ مكانه المقترح tools/gen_traceability.py (DQ-B08-1).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38"/>
        <w:gridCol w:w="2518"/>
        <w:gridCol w:w="2308"/>
      </w:tblGrid>
      <w:tr>
        <w:trPr>
          <w:cantSplit/>
          <w:tblHeader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المدخل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قُرئ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العدد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91-requirements-index.md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470، منها 146 في النطاق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10 إلى 14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FR وصفوف BR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 و285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أزواج المتطلب والسيناريو في §5، وصفوف السيناريوهات في §2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154 زوجًا، و61 سيناريو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§12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مربوطة بحالة استخدام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107 (الملف 10 كله)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شاشات بحالة استخدام أو سيناريو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شاشة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21-data-dictionary.md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تذكر متطلبًا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183 جدولًا من 199، تذكر 471 معرّف FR أو BR (عُدّت في 2026-10-18)</w:t>
            </w:r>
          </w:p>
        </w:tc>
      </w:tr>
      <w:tr>
        <w:trPr>
          <w:cantSplit/>
        </w:trPr>
        <w:tc>
          <w:tcPr>
            <w:tcW w:type="dxa" w:w="5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PASS</w:t>
            </w:r>
          </w:p>
        </w:tc>
        <w:tc>
          <w:tcPr>
            <w:tcW w:type="dxa" w:w="2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عزل و6 حصص؛ 5 حالات يذكر تعليقها معرّف FR أو BR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عمود القاعدة للمتطلبات الـ 146: 24 رابطًا مباشرًا لعشرين متطلبًا، و39 من عناوين السيناريوهات، و137 من حالات الاستخدام، فالمجموع 200.</w:t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التغطية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3"/>
        <w:gridCol w:w="1924"/>
        <w:gridCol w:w="1202"/>
        <w:gridCol w:w="1202"/>
        <w:gridCol w:w="1443"/>
      </w:tblGrid>
      <w:tr>
        <w:trPr>
          <w:cantSplit/>
          <w:tblHeader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 والوحدة (المتطلبات)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بقاعدة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بسيناريو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بكيان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بحالة قاعدة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بشاشة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PLT (38)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 (منها 5 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PLT (2)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(عرضي)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ORG (14)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PTY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INS (21)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ACC (10)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CAT (23)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NTF (15)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المجموع (146)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80</w:t>
            </w:r>
          </w:p>
        </w:tc>
        <w:tc>
          <w:tcPr>
            <w:tcW w:type="dxa" w:w="19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146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111</w:t>
            </w:r>
          </w:p>
        </w:tc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29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7" w:id="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المصفوفة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«—» لا رابط في المصدر. «عرضي» متطلب عام لا شاشة له. أرقام T حالات db/tests/tenant_isolation_tests.sql.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S0 — PLT (38)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1391"/>
        <w:gridCol w:w="1138"/>
        <w:gridCol w:w="3669"/>
        <w:gridCol w:w="1011"/>
        <w:gridCol w:w="1391"/>
      </w:tblGrid>
      <w:tr>
        <w:trPr>
          <w:cantSplit/>
          <w:tblHeader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T17، T26، T31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SCR-PLT-51، SCR-PLT-56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FR-PLT-007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BR-PLT-009، BR-PLT-017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plat.SupportAccessGrant، aud.SensitiveAccessLog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cfg.SeedRun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SCR-PLT-53، SCR-PLT-54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 (Could)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plat.PlatformOperator، 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sec.MfaRecoveryCode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SCR-PLT-04، +1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T36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AC-PLT-11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sec.UserToken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SCR-PLT-03، SCR-PLT-04، SCR-PLT-07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BR-PLT-004، BR-PLT-005، BR-PLT-006،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AC-PLT-12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sec.UserSession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T35، T37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BR-PLT-006، BR-PLT-008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SCR-PLT-08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BR-PLT-008، BR-PLT-014،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SCR-PLT-09، SCR-PLT-55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sec.UserRole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BR-PLT-007، BR-PLT-008، BR-PLT-019،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SCR-PLT-08، SCR-PLT-09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sec.UserCompanyScope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T30 · API، 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FR-PLT-024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BR-PLT-008، BR-PLT-009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T13-T15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BR-FAC-001، BR-LCE-002، BR-ORG-001، +1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AC-ORG-3، AC-PLT-3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cfg.NumberSequenceDefinition، cfg.NumberIssue،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FR-PLT-028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doc.Document، doc.DocumentLink، +1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FR-PLT-029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doc.DocumentVersion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FR-PLT-030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BR-PTY-010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FR-PLT-032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AC-NTF-4، AC-PLT-16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SCR-PLT-11، SCR-PLT-15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T1-T16c، T24، T28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AC-PLT-17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sec.TenantKey، sec.KeyEvent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يدوي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FR-PLT-041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CI، واجهة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BR-PLT-018، BR-WFL-012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cfg.SettingDefinition، cfg.TenantSetting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 (Should)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BR-NTF-010، BR-PLT-002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AC-PLT-4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  <w:tr>
        <w:trPr>
          <w:cantSplit/>
        </w:trPr>
        <w:tc>
          <w:tcPr>
            <w:tcW w:type="dxa" w:w="12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BR-PLT-002، BR-PLT-003، BR-PLT-004، +2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  <w:tc>
          <w:tcPr>
            <w:tcW w:type="dxa" w:w="3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plat.Tenant، plat.ReservedSubdomain</w:t>
            </w:r>
          </w:p>
        </w:tc>
        <w:tc>
          <w:tcPr>
            <w:tcW w:type="dxa" w:w="10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 · API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SCR-PLT-02، SCR-PLT-05، +2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PLT (2)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6"/>
        <w:gridCol w:w="1556"/>
        <w:gridCol w:w="1400"/>
        <w:gridCol w:w="3115"/>
        <w:gridCol w:w="1244"/>
        <w:gridCol w:w="993"/>
      </w:tblGrid>
      <w:tr>
        <w:trPr>
          <w:cantSplit/>
          <w:tblHeader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BR-PLT-013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cfg.ExpiryAlertLog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 (Should)</w:t>
            </w:r>
          </w:p>
        </w:tc>
        <w:tc>
          <w:tcPr>
            <w:tcW w:type="dxa" w:w="15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4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AC-PLT-22</w:t>
            </w:r>
          </w:p>
        </w:tc>
        <w:tc>
          <w:tcPr>
            <w:tcW w:type="dxa" w:w="31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عرضي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ORG (14)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3"/>
        <w:gridCol w:w="1742"/>
        <w:gridCol w:w="1266"/>
        <w:gridCol w:w="3012"/>
        <w:gridCol w:w="1266"/>
        <w:gridCol w:w="995"/>
      </w:tblGrid>
      <w:tr>
        <w:trPr>
          <w:cantSplit/>
          <w:tblHeader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cat.LegalEntityType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FR-ORG-005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AC-ORG-3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FR-ORG-006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BR-OBL-005، BR-ORG-001، BR-ORG-002، +3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FR-ORG-007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BR-ORG-005، BR-PRC-009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AC-ORG-5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org.CompanyTaxRate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FR-ORG-008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FR-ORG-009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FR-ORG-010 (Should)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AC-ORG-7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FR-ORG-011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FR-ORG-012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FR-ORG-013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BR-ORG-015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AC-ORG-6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FR-ORG-014</w:t>
            </w:r>
          </w:p>
        </w:tc>
        <w:tc>
          <w:tcPr>
            <w:tcW w:type="dxa" w:w="17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BR-ORG-016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AC-ORG-8</w:t>
            </w:r>
          </w:p>
        </w:tc>
        <w:tc>
          <w:tcPr>
            <w:tcW w:type="dxa" w:w="3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2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PTY (23)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BR-ORG-001، BR-ORG-002، BR-ORG-003، +2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AC-ORG-4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org.Company، pty.Party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BR-PLT-019،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BR-PTY-008، BR-PTY-009،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AC-PTY-5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 · 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BR-PTY-002، BR-PTY-003، BR-PTY-004،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pty.Address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AC-PTY-6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pty.ContactMethod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BR-PTY-015، BR-PTY-019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BR-PTY-014، BR-PTY-015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AC-PTY-7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pty.CustomFieldDefinition، pty.PartyCustomField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BR-PTY-001، BR-PTY-002، BR-PTY-003،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FR-PTY-016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BR-PTY-001، BR-PTY-002، +3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AC-INS-3، AC-PTY-2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col.PromissoryNoteSigner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FR-PTY-017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BR-PTY-017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FR-PTY-019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FR-PTY-020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BR-PTY-007، BR-PTY-012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BR-PTY-006، BR-PTY-008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AC-PTY-9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pty.IdentityDocument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FR-PTY-028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AC-PTY-8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INS (21)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1600"/>
        <w:gridCol w:w="1309"/>
        <w:gridCol w:w="3348"/>
        <w:gridCol w:w="1164"/>
        <w:gridCol w:w="988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AC-INS-4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AC-INS-5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ins.InstitutionUnit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BR-INS-005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ins.RelationshipContact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BR-INS-009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AC-INS-1، AC-INS-6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ins.RelationshipProduct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BR-INS-013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AC-INS-1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AC-INS-2، AC-INS-7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 (Should)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 (Could)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AC-INS-8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أداء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BR-INS-014، BR-PTY-001</w:t>
            </w:r>
          </w:p>
        </w:tc>
        <w:tc>
          <w:tcPr>
            <w:tcW w:type="dxa" w:w="13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AC-INS-3</w:t>
            </w:r>
          </w:p>
        </w:tc>
        <w:tc>
          <w:tcPr>
            <w:tcW w:type="dxa" w:w="33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ins.Institution</w:t>
            </w:r>
          </w:p>
        </w:tc>
        <w:tc>
          <w:tcPr>
            <w:tcW w:type="dxa" w:w="11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ACC (10)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1"/>
        <w:gridCol w:w="1671"/>
        <w:gridCol w:w="1504"/>
        <w:gridCol w:w="2678"/>
        <w:gridCol w:w="1337"/>
        <w:gridCol w:w="1003"/>
      </w:tblGrid>
      <w:tr>
        <w:trPr>
          <w:cantSplit/>
          <w:tblHeader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cat.AccountType، 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BR-ACC-002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AC-ACC-1، AC-ACC-5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BR-ACC-016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AC-ACC-1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acc.BankAccount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 (Could)</w:t>
            </w:r>
          </w:p>
        </w:tc>
        <w:tc>
          <w:tcPr>
            <w:tcW w:type="dxa" w:w="1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AC-ACC-6</w:t>
            </w:r>
          </w:p>
        </w:tc>
        <w:tc>
          <w:tcPr>
            <w:tcW w:type="dxa" w:w="2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acc.Signatory</w:t>
            </w:r>
          </w:p>
        </w:tc>
        <w:tc>
          <w:tcPr>
            <w:tcW w:type="dxa" w:w="13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يدوي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CAT (23)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1"/>
        <w:gridCol w:w="1574"/>
        <w:gridCol w:w="1288"/>
        <w:gridCol w:w="3439"/>
        <w:gridCol w:w="1145"/>
        <w:gridCol w:w="987"/>
      </w:tblGrid>
      <w:tr>
        <w:trPr>
          <w:cantSplit/>
          <w:tblHeader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 (Should)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cat.ProductCategory، 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cat.FeeType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cat.ProductFeeType، cat.ProductFinancingType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cat.FacilityType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cat.LimitType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cat.CollateralType، col.Collateral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AC-CAT-6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cat.ObligationType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BR-CAT-011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AC-CAT-3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cat.BaseRate، cat.BaseRateAlias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BR-CAT-013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AC-CAT-2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cat.BaseRateValue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AC-CAT-1، AC-PLT-15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cat.Position، cat.PowerType، +1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ref.Currency، ref.Incoterm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AC-CAT-5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cat.Product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 (Could)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AC-CAT-7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AC-CAT-4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4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5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BR-PTY-005، BR-PTY-015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AC-CAT-1</w:t>
            </w:r>
          </w:p>
        </w:tc>
        <w:tc>
          <w:tcPr>
            <w:tcW w:type="dxa" w:w="34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1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 · API</w:t>
            </w:r>
          </w:p>
        </w:tc>
        <w:tc>
          <w:tcPr>
            <w:tcW w:type="dxa" w:w="9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S1 — NTF (15)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1526"/>
        <w:gridCol w:w="1248"/>
        <w:gridCol w:w="3610"/>
        <w:gridCol w:w="1109"/>
        <w:gridCol w:w="984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BR-NTF-006، BR-WFL-012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AC-WFL-10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ntf.NotificationRule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BR-NTF-001، BR-NTF-002، BR-NTF-003، +1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AC-WFL-8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AC-NTF-2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ntf.NotificationPreference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واجهة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ntf.NotificationTemplate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 S1/S3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 S1 وS5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ntf.NotificationDelivery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AC-NTF-1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API، CI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AC-NTF-3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 (Should)</w:t>
            </w:r>
          </w:p>
        </w:tc>
        <w:tc>
          <w:tcPr>
            <w:tcW w:type="dxa" w:w="15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  <w:tc>
          <w:tcPr>
            <w:tcW w:type="dxa" w:w="36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sec.AppUser، ntf.Notification</w:t>
            </w:r>
          </w:p>
        </w:tc>
        <w:tc>
          <w:tcPr>
            <w:tcW w:type="dxa" w:w="11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الفجوات التي تكشفها المصفوفة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"/>
        <w:gridCol w:w="3139"/>
        <w:gridCol w:w="2617"/>
        <w:gridCol w:w="3128"/>
      </w:tblGrid>
      <w:tr>
        <w:trPr>
          <w:cantSplit/>
          <w:tblHeader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الفجوة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العلاج المقترح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القواعد غير مربوطة في INS وACC وCAT وNTF: 13 من 69 متطلبًا فقط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يُعرف أي قاعدة يثبتها اختبار المتطلب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جداول FR (DQ-B08-2)، وحالات الاستخدام في DOC-F09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شاشة مربوطة لأي متطلب غير عرضي في S1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يُتحقق أن كل متطلب له موضع في الواجهة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لـ S1 بمعرّفات SCR-ORG وSCR-PTY، وربط SCR-INS وSCR-ACC وSCR-CAT بحالات الاستخدام (DQ-B08-6)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G-3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قائم لـ 29 متطلبًا فقط، وكله في القاعدة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 متطلبًا في S0 لا تُثبت إلا باختبارات API أو واجهة لم تُكتب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الوسوم في §5، وبوابة الخروج في §5.4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35 متطلبًا بلا جدول يذكرها في القاموس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الأثر في القاعدة غير ظاهر، مثل FR-ORG-011 إلى FR-ORG-013 التي تخدمها جداول doc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المتطلب في ملاحظة الجدول في النموذج، أو تصنيفه عرضيًا (DQ-B08-7)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القاعدة بالمشاركة تزيد عن الحقيقة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قاعدة بمتطلب لا تخصه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176 رابطًا مشاركًا عند خروج S1 (DQ-B08-3)</w:t>
            </w:r>
          </w:p>
        </w:tc>
      </w:tr>
      <w:tr>
        <w:trPr>
          <w:cantSplit/>
        </w:trPr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G-6</w:t>
            </w:r>
          </w:p>
        </w:tc>
        <w:tc>
          <w:tcPr>
            <w:tcW w:type="dxa" w:w="31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السيناريوهات الجديدة في DOC-B02 لم تنتقل إلى §15 في المواصفات</w:t>
            </w:r>
          </w:p>
        </w:tc>
        <w:tc>
          <w:tcPr>
            <w:tcW w:type="dxa" w:w="2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مصدران للنص نفسه</w:t>
            </w:r>
          </w:p>
        </w:tc>
        <w:tc>
          <w:tcPr>
            <w:tcW w:type="dxa" w:w="31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DQ-B02-6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S0 بلا حالة قاعدة: FR-PLT-001، 003، 007، 008، 009، 013، 026، 027، 028، 029، 030، 032، 033، 034، 037، 041، 043، 044، 045. وهي متطلبات تطبيق في الأساس (التأهيل والمستندات والتوطين والمفاتيح والبناء)، فاختبارها في API والواجهة وCI.</w:t>
      </w: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قواعد إبقاء المصفوفة حديثة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المولّد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المكان: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tools/gen_traceability.py بجانب tools/gen_indexes.py، يقرأ المصادر في §2.2 ولا يكتب غير ناتجه.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الناتج: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ملف مولَّد docs/10-detailed-analysis/92-traceability-matrix.md لا يُعدَّل يدويًا، وملف CSV بالقوائم الكاملة بلا اختصار «+n». تبقى في هذه الوثيقة الطريقة والفجوات وآخر لقطة.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خطوة تعيد التوليد وتقارن بالملف المودَع، على نمط الخطوة 2 في tools/ci/db_ci.sh:39-45، فتفشل إن كان قديمًا.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التوسع: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المصادر الجديدة تُضاف إلى المولّد لا إلى الجدول: DOC-F09 لحالات M2 إلى M8، وتحديثات DOC-B07، وسيناريوهات S2 فما بعد في DOC-B02، واختبارات التطبيق.</w:t>
      </w:r>
    </w:p>
    <w:p>
      <w:pPr>
        <w:bidi/>
        <w:spacing w:after="6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الوسوم في المصادر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5"/>
        <w:gridCol w:w="8089"/>
      </w:tblGrid>
      <w:tr>
        <w:trPr>
          <w:cantSplit/>
          <w:tblHeader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الوسم المطلوب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FR في المواصفات 10 إلى 14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بمعرّفات BR، يقرؤه tools/gen_indexes.py أيضًا (DQ-B08-2)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SQL في db/tests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التعليق الافتتاحي لكل حالة يذكر FR وBR وTHR، كما تفعل T34 وT36 وT37 اليوم (db/tests/tenant_isolation_tests.sql:499، :546، :643)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التطبيق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FR وAC وTHR لكل اختبار، مثل خاصية Trait في xUnit ووسم في Playwright (DQ-B08-4)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العبور المولَّدة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تأخذ FR من امتداد x-fr في كل عملية OpenAPI (DQ-B08-8، DOC-S13 §5.2)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الشاشات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 SCR لكل شاشة وحالة استخدامها في DOC-B07</w:t>
            </w:r>
          </w:p>
        </w:tc>
      </w:tr>
      <w:tr>
        <w:trPr>
          <w:cantSplit/>
        </w:trPr>
        <w:tc>
          <w:tcPr>
            <w:tcW w:type="dxa" w:w="17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النموذج</w:t>
            </w:r>
          </w:p>
        </w:tc>
        <w:tc>
          <w:tcPr>
            <w:tcW w:type="dxa" w:w="80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 FR في ملاحظة الجدول أو العمود، كما في docs/21-data-dictionary.md اليوم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الفحوص الآلية</w:t>
      </w:r>
      <w:bookmarkEnd w:id="20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وسم يشير إلى FR أو AC أو BR غير موجود يفشل البناء.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 جديد في المواصفات يظهر في المصفوفة آليًا؛ وبلا سيناريو قبول يظهر فجوة في تقرير المولّد.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تقرير الفجوات يُطبع في كل تشغيل بأعداد الجدول في §2.4.</w:t>
      </w:r>
    </w:p>
    <w:p>
      <w:pPr>
        <w:bidi/>
        <w:spacing w:after="60" w:before="0"/>
      </w:pP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بوابة الشريحة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أثناء البناء: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تحذير في طلب الدمج فقط، لأن المتطلب بلا اختبار حالة طبيعية قبل اكتماله.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عند وسم إصدار خروج الشريحة: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الخط إن بقي متطلب Must في الشريحة بلا اختبار قائم ناجح موسوم به. وShould يحتاج تأجيلًا مكتوبًا، وCould لا يوقف (DQ-B02-5، DOC-B01 §5).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تقرير الخروج: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تُرفق لقطة المصفوفة بتقرير خروج الشريحة (DOC-B01 §9).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الملكية والمراجعة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80"/>
        <w:gridCol w:w="4384"/>
      </w:tblGrid>
      <w:tr>
        <w:trPr>
          <w:cantSplit/>
          <w:tblHeader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الحلقة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المسؤول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المتطلب والقاعدة والسيناريو والشاشة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ووسومه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ضمان الجودة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الكيان وملاحظات النموذج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</w:tr>
      <w:tr>
        <w:trPr>
          <w:cantSplit/>
        </w:trPr>
        <w:tc>
          <w:tcPr>
            <w:tcW w:type="dxa" w:w="54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وخطوة CI</w:t>
            </w:r>
          </w:p>
        </w:tc>
        <w:tc>
          <w:tcPr>
            <w:tcW w:type="dxa" w:w="4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تُراجع المصفوفة عند خروج كل شريحة، وقبل بدء الشريحة التالية تُوسَّع إلى متطلباتها.</w:t>
      </w: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القرارات المطلوبة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138"/>
        <w:gridCol w:w="2960"/>
        <w:gridCol w:w="946"/>
        <w:gridCol w:w="3874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DQ-B08-1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المولّد وناتجه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tools/gen_traceability.py، وناتج 92-traceability-matrix.md وCSV، وفحص الحداثة في CI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DQ-B08-2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القاعدة بالمتطلب في المصدر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«القواعد» في كل جدول FR بدل الربط بالمشاركة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G-1، توسيع المصفوفة إلى S2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DQ-B08-3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الروابط المشاركة الزائدة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يراجعها BA عند خروج S1، والمحذوف يُسجَّل في ملف استثناءات يقرؤه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G-5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DQ-B08-4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وسوم الاختبارات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وسوم FR وAC وTHR، وبادئات ISO-Tn وFSR-Tn (DQ-B01-4)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الاختبار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DQ-B08-5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بوابة الخروج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§5.4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مع OWN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DQ-B08-6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شاشات S1 وربطها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DOC-B07 قبل بناء S1، وربط شاشات 11-m2-m4 §7.1 بحالات DOC-F09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UX مع 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DQ-B08-7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متطلبات بلا جدول في القاموس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ذكرها في ملاحظات الجداول التي تخدمها، أو وسمها عرضية في المولّد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G-4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DQ-B08-8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 x-fr في OpenAPI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FR لكل عملية، يقرؤها مولّد العبور ومولّد التتبع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§5.2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DQ-B08-9</w:t>
            </w:r>
          </w:p>
        </w:tc>
        <w:tc>
          <w:tcPr>
            <w:tcW w:type="dxa" w:w="11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القرارات في 00 §10.3</w:t>
            </w:r>
          </w:p>
        </w:tc>
        <w:tc>
          <w:tcPr>
            <w:tcW w:type="dxa" w:w="2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هذه المصفوفة؛ جدول قرار ← موضع تنفيذ يضيفه المولّد لاحقًا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  <w:tc>
          <w:tcPr>
            <w:tcW w:type="dxa" w:w="38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docs/30-readiness-documents.md:397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تعارضات وفجوات في المصادر</w:t>
      </w:r>
      <w:bookmarkEnd w:id="24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docs/30-readiness-documents.md:399 يقول إن 386 متطلبًا من 470 بلا سيناريو. لمتطلبات S0 وS1 صار لكل متطلب سيناريو في DOC-B02 §5، لكنها مقترحة ولم تنتقل إلى §15 في المواصفات (DQ-B02-6).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حالات T1 إلى T31، وملاحظة التحقق في :401 تذكر T1 إلى T37 (40 حالة). العدد الفعلي 41: T1 إلى T38 مع T8b وT16b وT16c (tools/ci/db_ci.sh:87-88).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docs/30-readiness-documents.md:398 يذكر 306 مراجع FR على مستوى الجدول في القاموس. قواعد §2.2 تجد 326 متطلبًا مختلفًا في 167 قسم جدول، لأنها تقرأ ملاحظات الأعمدة وتفك الصيغ المختصرة.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في 2026-10-18: كانت docs/20-database-design.md وtools/dbgen/erd_open_items.py:22 تذكر 194 جدولًا و3,280 عمودًا، وقاموس البيانات 195. والعدد اليوم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‎dbgen.py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255 جدولًا و4,200 عمود، وهو ما يذكره قاموس البيانات المولَّد؛ وتصحيح وثيقة التصميم في المراجعة الذاتية D1.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11-m2-m4 §7.1 تحمل معرّفات SCR (docs/10-detailed-analysis/11-m2-m4-institutions-accounts-catalogs.md:391-408) بلا متطلب ولا حالة استخدام، وشاشات S1 في 10-m0-m1 §7.1 بلا معرّفات (docs/10-detailed-analysis/10-m0-m1-platform-organization.md:385-398).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العزل تحمل أرقامًا لا معرّفات متطلبات؛ خمس حالات فقط يذكر تعليقها FR أو BR (db/tests/tenant_isolation_tests.sql:340، :499، :546، :593، :643).</w:t>
      </w:r>
    </w:p>
    <w:p>
      <w:pPr>
        <w:bidi/>
        <w:spacing w:after="60" w:before="0"/>
      </w:pPr>
    </w:p>
    <w:p>
      <w:pPr>
        <w:pStyle w:val="Heading1"/>
        <w:bidi/>
      </w:pPr>
      <w:bookmarkStart w:name="_sec25" w:id="2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التتبع</w:t>
      </w:r>
      <w:bookmarkEnd w:id="2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2"/>
        <w:gridCol w:w="1958"/>
        <w:gridCol w:w="6914"/>
      </w:tblGrid>
      <w:tr>
        <w:trPr>
          <w:cantSplit/>
          <w:tblHeader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النطاق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شرائح S0 وS1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docs/10-detailed-analysis/91-requirements-index.md:21-24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القبول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السيناريوهات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docs/30-readiness/DOC-B02-acceptance-criteria-register-s0-s1.md §5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الشاشة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الاستخدام والشاشات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docs/30-readiness/DOC-F07-use-case-catalogue-m0-m1.md §12؛ docs/30-readiness/DOC-B07-s0-screen-inventory-navigation.md §2، §3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§2.2 الاختبار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X-SEC-4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S0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FR-PLT-036، BR-PLT-001، خروج S0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المولّد القائم للفهرس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tools/gen_indexes.py:1-3</w:t>
            </w:r>
          </w:p>
        </w:tc>
      </w:tr>
      <w:tr>
        <w:trPr>
          <w:cantSplit/>
        </w:trPr>
        <w:tc>
          <w:tcPr>
            <w:tcW w:type="dxa" w:w="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الخروج</w:t>
            </w:r>
          </w:p>
        </w:tc>
        <w:tc>
          <w:tcPr>
            <w:tcW w:type="dxa" w:w="69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docs/30-readiness/DOC-B01-test-strategy-and-plan.md §5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DOC-B08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1df9b5c8a8927f93be93f43e96eed7ec0b162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DOC-B08 — مصفوفة التتبع: المتطلب والقاعدة والقبول والكيان والاختبار والشاشة</dc:title>
  <dc:creator>Claude</dc:creator>
  <dc:description>BankFas database design document</dc:description>
  <cp:lastModifiedBy>Un-named</cp:lastModifiedBy>
  <cp:revision>1</cp:revision>
  <dcterms:created xsi:type="dcterms:W3CDTF">2026-10-24T18:29:52.859Z</dcterms:created>
  <dcterms:modified xsi:type="dcterms:W3CDTF">2026-10-24T18:29:52.859Z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