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DOC-B09 — مصفوفة المسؤوليات وسجل ملكية القرارات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77"/>
        <w:gridCol w:w="8687"/>
      </w:tblGrid>
      <w:tr>
        <w:trPr>
          <w:cantSplit/>
          <w:tblHeader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DOC-B09 (docs/30-readiness-documents.md)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المشروع مع مدير الخزينة لدى العميل بصفته صاحب القرار (docs/30-readiness-documents.md:55)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P0 قبل S0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O-01 إلى O-24 (erd_open_items)، O-1 إلى O-15 (20-database-design)، X-SEC-7، Q-FAC-08، Q-CAT-03، الأسئلة الـ155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وثائق P0 في السجل؛ DOC-B04 وDOC-B05 للقرارات التي تثيرها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docs/30-readiness-documents.md، tools/dbgen/erd_open_items.py، docs/20-database-design.md، docs/10-detailed-analysis/00-overview-and-cross-cutting.md، 90-consolidated-open-questions.md، 91-requirements-index.md، tools/gen_indexes.py، docs/adr/0001-schema-work-on-linux.md، docs/adr/0002-login-and-session-bound-context.md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الأدوار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قواعد الملكية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بوابة S0</w:t>
        </w:r>
      </w:hyperlink>
    </w:p>
    <w:p>
      <w:pPr>
        <w:bidi/>
        <w:spacing w:after="50" w:before="0"/>
        <w:ind w:left="0"/>
      </w:pPr>
      <w:hyperlink w:history="1" w:anchor="_sec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مصفوفة RACI لوثائق P0</w:t>
        </w:r>
      </w:hyperlink>
    </w:p>
    <w:p>
      <w:pPr>
        <w:bidi/>
        <w:spacing w:after="50" w:before="0"/>
        <w:ind w:left="0"/>
      </w:pPr>
      <w:hyperlink w:history="1" w:anchor="_sec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سجل ملكية القرارات</w:t>
        </w:r>
      </w:hyperlink>
    </w:p>
    <w:p>
      <w:pPr>
        <w:bidi/>
        <w:spacing w:after="50" w:before="0"/>
        <w:ind w:left="0"/>
      </w:pPr>
      <w:hyperlink w:history="1" w:anchor="_sec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الأسئلة المفتوحة الـ155</w:t>
        </w:r>
      </w:hyperlink>
    </w:p>
    <w:p>
      <w:pPr>
        <w:bidi/>
        <w:spacing w:after="50" w:before="0"/>
        <w:ind w:left="0"/>
      </w:pPr>
      <w:hyperlink w:history="1" w:anchor="_sec1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القرارات المطلوبة</w:t>
        </w:r>
      </w:hyperlink>
    </w:p>
    <w:p>
      <w:pPr>
        <w:bidi/>
        <w:spacing w:after="50" w:before="0"/>
        <w:ind w:left="0"/>
      </w:pPr>
      <w:hyperlink w:history="1" w:anchor="_sec1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17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التتبع</w:t>
        </w:r>
      </w:hyperlink>
    </w:p>
    <w:p>
      <w:r>
        <w:br w:type="page"/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تحدد الوثيقة لكل وثيقة P0 ولكل قرار مفتوح: من يعتمد (A)، ومن ينفّذ (R)، ومن يُستشار (C)، ومن يُبلَّغ (I)، ومتى يلزم القرار، وحالته. وتحدد بوابة S0: القرارات التي يجب إقفالها قبل بدء الشريحة. وتقترح عمود مالك لسجل الأسئلة الـ155.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الأدوار هنا أدوار لا أسماء. يجوز أن يشغل شخص واحد أكثر من دور، بشرط القاعدة في §3. سلطات الأدوار في §2 مقترحة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عدا سلطة OWN في قبول ADR فهي ثابتة في المصدر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الأدوار</w:t>
      </w:r>
      <w:bookmarkEnd w:id="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6"/>
        <w:gridCol w:w="1143"/>
        <w:gridCol w:w="1398"/>
        <w:gridCol w:w="6357"/>
      </w:tblGrid>
      <w:tr>
        <w:trPr>
          <w:cantSplit/>
          <w:tblHeader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الرمز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الدور</w:t>
            </w:r>
          </w:p>
        </w:tc>
        <w:tc>
          <w:tcPr>
            <w:tcW w:type="dxa" w:w="1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سلطته في القرار</w:t>
            </w:r>
          </w:p>
        </w:tc>
        <w:tc>
          <w:tcPr>
            <w:tcW w:type="dxa" w:w="6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 لدى العميل</w:t>
            </w:r>
          </w:p>
        </w:tc>
        <w:tc>
          <w:tcPr>
            <w:tcW w:type="dxa" w:w="1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النطاق والأولويات والمخاطر المقبولة وقبول ADR</w:t>
            </w:r>
          </w:p>
        </w:tc>
        <w:tc>
          <w:tcPr>
            <w:tcW w:type="dxa" w:w="6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docs/adr/0001-schema-work-on-linux.md:3؛ docs/adr/0002-login-and-session-bound-context.md:3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الخزينة لدى العميل</w:t>
            </w:r>
          </w:p>
        </w:tc>
        <w:tc>
          <w:tcPr>
            <w:tcW w:type="dxa" w:w="1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قواعد العمل الخزينية والكتالوجات المصرفية</w:t>
            </w:r>
          </w:p>
        </w:tc>
        <w:tc>
          <w:tcPr>
            <w:tcW w:type="dxa" w:w="6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00-overview…:60؛ docs/30-readiness-documents.md:55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الأمن</w:t>
            </w:r>
          </w:p>
        </w:tc>
        <w:tc>
          <w:tcPr>
            <w:tcW w:type="dxa" w:w="1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سياسات الأمن، وقبول المخاطر التقنية المنخفضة والمتوسطة</w:t>
            </w:r>
          </w:p>
        </w:tc>
        <w:tc>
          <w:tcPr>
            <w:tcW w:type="dxa" w:w="6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السجل: DOC-S01 إلى DOC-S06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الحلول</w:t>
            </w:r>
          </w:p>
        </w:tc>
        <w:tc>
          <w:tcPr>
            <w:tcW w:type="dxa" w:w="1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المعمارية والعقود بين الطبقات</w:t>
            </w:r>
          </w:p>
        </w:tc>
        <w:tc>
          <w:tcPr>
            <w:tcW w:type="dxa" w:w="6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السجل: DOC-F01، DOC-S03، DOC-B03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</w:t>
            </w:r>
          </w:p>
        </w:tc>
        <w:tc>
          <w:tcPr>
            <w:tcW w:type="dxa" w:w="1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النموذج والمخطط والصلاحيات داخل القاعدة</w:t>
            </w:r>
          </w:p>
        </w:tc>
        <w:tc>
          <w:tcPr>
            <w:tcW w:type="dxa" w:w="6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السجل: DOC-F04، DOC-S08، DOC-B05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DevOps والتشغيل</w:t>
            </w:r>
          </w:p>
        </w:tc>
        <w:tc>
          <w:tcPr>
            <w:tcW w:type="dxa" w:w="1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البيئات والنشر والخوادم والنسخ</w:t>
            </w:r>
          </w:p>
        </w:tc>
        <w:tc>
          <w:tcPr>
            <w:tcW w:type="dxa" w:w="6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السجل: DOC-S05، DOC-S09، DOC-B11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قائد ضمان الجودة</w:t>
            </w:r>
          </w:p>
        </w:tc>
        <w:tc>
          <w:tcPr>
            <w:tcW w:type="dxa" w:w="1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استراتيجية الاختبار وبوابات الخروج</w:t>
            </w:r>
          </w:p>
        </w:tc>
        <w:tc>
          <w:tcPr>
            <w:tcW w:type="dxa" w:w="6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السجل: DOC-B01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المشروع</w:t>
            </w:r>
          </w:p>
        </w:tc>
        <w:tc>
          <w:tcPr>
            <w:tcW w:type="dxa" w:w="1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القرارات ومهله ومتابعته والتصعيد</w:t>
            </w:r>
          </w:p>
        </w:tc>
        <w:tc>
          <w:tcPr>
            <w:tcW w:type="dxa" w:w="6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السجل: DOC-B09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LEG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المستشار القانوني ومسؤول حماية البيانات</w:t>
            </w:r>
          </w:p>
        </w:tc>
        <w:tc>
          <w:tcPr>
            <w:tcW w:type="dxa" w:w="1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الامتثال والاحتفاظ والإقامة والمحتوى القانوني</w:t>
            </w:r>
          </w:p>
        </w:tc>
        <w:tc>
          <w:tcPr>
            <w:tcW w:type="dxa" w:w="6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السجل: DOC-S07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محلل الأعمال (دور مساند)</w:t>
            </w:r>
          </w:p>
        </w:tc>
        <w:tc>
          <w:tcPr>
            <w:tcW w:type="dxa" w:w="1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صياغة المقترحات والقواعد ومعايير القبول</w:t>
            </w:r>
          </w:p>
        </w:tc>
        <w:tc>
          <w:tcPr>
            <w:tcW w:type="dxa" w:w="6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السجل: DOC-F07، DOC-B02، DOC-B10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قائد التطبيق والواجهات البرمجية (دور مساند)</w:t>
            </w:r>
          </w:p>
        </w:tc>
        <w:tc>
          <w:tcPr>
            <w:tcW w:type="dxa" w:w="1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عقد الواجهة وتنفيذ الخلفية</w:t>
            </w:r>
          </w:p>
        </w:tc>
        <w:tc>
          <w:tcPr>
            <w:tcW w:type="dxa" w:w="6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السجل: DOC-B04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UX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قائد تجربة المستخدم (دور مساند)</w:t>
            </w:r>
          </w:p>
        </w:tc>
        <w:tc>
          <w:tcPr>
            <w:tcW w:type="dxa" w:w="1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الشاشات والتنقل</w:t>
            </w:r>
          </w:p>
        </w:tc>
        <w:tc>
          <w:tcPr>
            <w:tcW w:type="dxa" w:w="6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السجل: DOC-B07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قواعد الملكية</w:t>
      </w:r>
      <w:bookmarkEnd w:id="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معتمِد واحد.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لكل بند A واحد فقط. يجوز تعدد R وC وI.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لا يعتمد المرء مقترحه.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 أعدّ المقترح (R) لا يكون معتمِده (A)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للمبدأ: «فصل المهام: المُعِدّ ≠ المعتمِد» (X-SEC-7، docs/10-detailed-analysis/00-overview-and-cross-cutting.md:142). والمبدأ نفسه في المنتج: «الموافِق غير المنشئ» (10-m0-m1…:54)، و«لا يوافق TM على طلب أنشأه» (FR-WFL-009، 13-m6…:130)، و«المُعِدّ ≠ المعتمِد دائمًا» (12-m5…:46).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الاستثناء مسجَّل.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إن لم يوجد غير شخص واحد للدورين، يُسجَّل الاستثناء بسببه في سجل القرارات ويُبلَّغ OWN. هذا مطابق لإعداد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‎wf.sod.allow_same_person‎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الأصل ممنوع والاستثناء مسجَّل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(BR-WFL-026، 13-m6…:257؛ FR-WFL-041، :162). ولا يُستثنى OWN من القاعدة حين يكون هو مُعِدّ المقترح: يعتمده عندئذ TRM أو SEC بحسب الموضوع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القرار المقرَّر له سجل.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قرار معماري في ADR تحت docs/adr. وقرار القاعدة في حالة البند في tools/dbgen/erd_open_items.py، ويسمّي الملف المنفِّذ (tools/dbgen/erd_open_items.py:4-6). وقرار الأعمال بعلامة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§14 من مواصفة الوحدة، فينقلها المولّد إلى السجل الموحّد (tools/gen_indexes.py:8-11).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المهلة شريحة.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«مطلوب قبل» هو بدء الشريحة المذكورة. البند المتأخر يُصعَّد إلى OWN. الافتراض الموصى به يسري حتى يُحسم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(90-consolidated…:3)، إلا بنود بوابة S0 فلا بداية بافتراض.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الترقيم المتصادم.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يُكتب السجل دائمًا: «O-18 (erd_open_items)» أو «O-11 (20-database-design)».</w:t>
      </w:r>
    </w:p>
    <w:p>
      <w:pPr>
        <w:bidi/>
        <w:spacing w:after="60" w:before="0"/>
      </w:pP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561975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561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بوابة S0</w:t>
      </w:r>
      <w:bookmarkEnd w:id="4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البنود التالية تُقفل قبل بدء S0. الأساس: «Start S0 once O-01, O-02 and O-07 are decided» (tools/dbgen/erd_open_items.py:101)، وترتيب السجل «قرارات أولًا» (docs/30-readiness-documents.md:445)، وعواقب ADR 0001 (docs/adr/0001-schema-work-on-linux.md:26).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8"/>
        <w:gridCol w:w="879"/>
        <w:gridCol w:w="879"/>
        <w:gridCol w:w="5656"/>
        <w:gridCol w:w="942"/>
      </w:tblGrid>
      <w:tr>
        <w:trPr>
          <w:cantSplit/>
          <w:tblHeader/>
        </w:trPr>
        <w:tc>
          <w:tcPr>
            <w:tcW w:type="dxa" w:w="1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A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R</w:t>
            </w:r>
          </w:p>
        </w:tc>
        <w:tc>
          <w:tcPr>
            <w:tcW w:type="dxa" w:w="5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 اليوم</w:t>
            </w:r>
          </w:p>
        </w:tc>
        <w:tc>
          <w:tcPr>
            <w:tcW w:type="dxa" w:w="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يلزم لإغلاقه</w:t>
            </w:r>
          </w:p>
        </w:tc>
      </w:tr>
      <w:tr>
        <w:trPr>
          <w:cantSplit/>
        </w:trPr>
        <w:tc>
          <w:tcPr>
            <w:tcW w:type="dxa" w:w="1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O-01 (erd_open_items) كلمة المرور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5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مقرَّر: Argon2id (ADR 0002)</w:t>
            </w:r>
          </w:p>
        </w:tc>
        <w:tc>
          <w:tcPr>
            <w:tcW w:type="dxa" w:w="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 للبوابة</w:t>
            </w:r>
          </w:p>
        </w:tc>
      </w:tr>
      <w:tr>
        <w:trPr>
          <w:cantSplit/>
        </w:trPr>
        <w:tc>
          <w:tcPr>
            <w:tcW w:type="dxa" w:w="1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O-02 (erd_open_items) التنفيذ على SQL Server 2025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5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منفَّذ: tools/ci/db_ci.sh يمر كاملًا على حاوية SQL Server 2025 (Ubuntu 24.04) في بيئة التطوير (tools/ci/db_ci.sh:51-93)، وعلى GitHub من ../.github/workflows/treasury-db-ci.yml (جذر المستودع)، وأول تشغيل أخضر 2026-10-12 (https://github.com/thawrasy/smartlines/actions/runs/38283663041؛ tools/dbgen/erd_open_items.py:22)</w:t>
            </w:r>
          </w:p>
        </w:tc>
        <w:tc>
          <w:tcPr>
            <w:tcW w:type="dxa" w:w="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قبول التنفيذ في CI للبوابة، ونقل تشغيل الإنتاج إلى O-23 (DQ-B09-3)</w:t>
            </w:r>
          </w:p>
        </w:tc>
      </w:tr>
      <w:tr>
        <w:trPr>
          <w:cantSplit/>
        </w:trPr>
        <w:tc>
          <w:tcPr>
            <w:tcW w:type="dxa" w:w="1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O-07 (erd_open_items) الأسئلة المفتوحة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</w:t>
            </w:r>
          </w:p>
        </w:tc>
        <w:tc>
          <w:tcPr>
            <w:tcW w:type="dxa" w:w="5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مغلق: اعتمد المالك الافتراضيات الـ148 الباقية 2026-10-19، فالأسئلة الـ155 محسومة (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‎docs/31-owner-decisions.md‎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القرار 31)</w:t>
            </w:r>
          </w:p>
        </w:tc>
        <w:tc>
          <w:tcPr>
            <w:tcW w:type="dxa" w:w="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 للبوابة</w:t>
            </w:r>
          </w:p>
        </w:tc>
      </w:tr>
      <w:tr>
        <w:trPr>
          <w:cantSplit/>
        </w:trPr>
        <w:tc>
          <w:tcPr>
            <w:tcW w:type="dxa" w:w="1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O-14 (erd_open_items) بدء الشرائح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</w:t>
            </w:r>
          </w:p>
        </w:tc>
        <w:tc>
          <w:tcPr>
            <w:tcW w:type="dxa" w:w="5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</w:t>
            </w:r>
          </w:p>
        </w:tc>
        <w:tc>
          <w:tcPr>
            <w:tcW w:type="dxa" w:w="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إقفال بقية البنود ثم قرار البدء</w:t>
            </w:r>
          </w:p>
        </w:tc>
      </w:tr>
      <w:tr>
        <w:trPr>
          <w:cantSplit/>
        </w:trPr>
        <w:tc>
          <w:tcPr>
            <w:tcW w:type="dxa" w:w="1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O-18 (erd_open_items) دخول المشترك المعلّق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5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</w:t>
            </w:r>
          </w:p>
        </w:tc>
        <w:tc>
          <w:tcPr>
            <w:tcW w:type="dxa" w:w="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اختيار (أ) أو (ب)، ثم مواءمة 030 والاختبار T27</w:t>
            </w:r>
          </w:p>
        </w:tc>
      </w:tr>
      <w:tr>
        <w:trPr>
          <w:cantSplit/>
        </w:trPr>
        <w:tc>
          <w:tcPr>
            <w:tcW w:type="dxa" w:w="1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نظام تشغيل طبقة التطبيق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5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Windows Server وفق 01 §13 «قائم ومطروح للمراجعة بعد ADR 0001» (00-overview…:126، :226؛ 10-m0-m1…:147)؛ ADR 0001 غيّر مضيف القاعدة وحده (docs/adr/0001-schema-work-on-linux.md:3، :10)</w:t>
            </w:r>
          </w:p>
        </w:tc>
        <w:tc>
          <w:tcPr>
            <w:tcW w:type="dxa" w:w="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تأكيد Windows Server أو تغييره في ADR، ثم DOC-B11</w:t>
            </w:r>
          </w:p>
        </w:tc>
      </w:tr>
      <w:tr>
        <w:trPr>
          <w:cantSplit/>
        </w:trPr>
        <w:tc>
          <w:tcPr>
            <w:tcW w:type="dxa" w:w="1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حفظ المفتاح الخارجي وشهادة TDE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5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 (ADR 0001:26؛ Q-PLT-12)</w:t>
            </w:r>
          </w:p>
        </w:tc>
        <w:tc>
          <w:tcPr>
            <w:tcW w:type="dxa" w:w="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DOC-S02 معتمدة</w:t>
            </w:r>
          </w:p>
        </w:tc>
      </w:tr>
      <w:tr>
        <w:trPr>
          <w:cantSplit/>
        </w:trPr>
        <w:tc>
          <w:tcPr>
            <w:tcW w:type="dxa" w:w="1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إقامة البيانات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LEG</w:t>
            </w:r>
          </w:p>
        </w:tc>
        <w:tc>
          <w:tcPr>
            <w:tcW w:type="dxa" w:w="5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الاستضافة مقرَّرة، والمراجعة القانونية مفتوحة (Q-PLT-03، 90-consolidated…:13)</w:t>
            </w:r>
          </w:p>
        </w:tc>
        <w:tc>
          <w:tcPr>
            <w:tcW w:type="dxa" w:w="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DOC-S07 معتمدة</w:t>
            </w:r>
          </w:p>
        </w:tc>
      </w:tr>
      <w:tr>
        <w:trPr>
          <w:cantSplit/>
        </w:trPr>
        <w:tc>
          <w:tcPr>
            <w:tcW w:type="dxa" w:w="1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النسخ الاحتياطي وRPO وRTO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5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محسوم: RPO 15 دقيقة وRTO 4 ساعات معتمدان (DQ-S09-1، 2026-10-12)؛ القياس في أول تمرين</w:t>
            </w:r>
          </w:p>
        </w:tc>
        <w:tc>
          <w:tcPr>
            <w:tcW w:type="dxa" w:w="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DOC-S09 معتمدة</w:t>
            </w:r>
          </w:p>
        </w:tc>
      </w:tr>
      <w:tr>
        <w:trPr>
          <w:cantSplit/>
        </w:trPr>
        <w:tc>
          <w:tcPr>
            <w:tcW w:type="dxa" w:w="1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نموذج حالة الطلب الموحّد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  <w:tc>
          <w:tcPr>
            <w:tcW w:type="dxa" w:w="5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مغلق: اعتمده المالك 2026-10-12 وعُدّلت المواصفة 13 (O-10)</w:t>
            </w:r>
          </w:p>
        </w:tc>
        <w:tc>
          <w:tcPr>
            <w:tcW w:type="dxa" w:w="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DOC-F08: التنفيذ في المحرك قبل S3</w:t>
            </w:r>
          </w:p>
        </w:tc>
      </w:tr>
      <w:tr>
        <w:trPr>
          <w:cantSplit/>
        </w:trPr>
        <w:tc>
          <w:tcPr>
            <w:tcW w:type="dxa" w:w="1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نتائج مراجعة التصميم 36 و4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5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مغلق: اعتمده المالك 2026-10-13 (O-15،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‎docs/32-review-findings-decisions.md‎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ADR 0011)</w:t>
            </w:r>
          </w:p>
        </w:tc>
        <w:tc>
          <w:tcPr>
            <w:tcW w:type="dxa" w:w="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قرار لكل نتيجة: تُطبَّق قبل S0 أو تؤجَّل بسبب مكتوب</w:t>
            </w:r>
          </w:p>
        </w:tc>
      </w:tr>
    </w:tbl>
    <w:p>
      <w:pPr>
        <w:bidi/>
        <w:spacing w:after="120" w:before="0"/>
      </w:pP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4838700" cy="8191500"/>
            <wp:effectExtent t="0" r="0" b="0" l="0"/>
            <wp:docPr id="1" name="diagram-2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870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بنود تلزم أثناء S0 وقبل خروجه، لا قبل بدئه: O-08 وO-09 وO-12 وO-19 وO-21 وO-22 وO-24 (erd_open_items)، وO-3 وO-12 (20-database-design).</w:t>
      </w:r>
    </w:p>
    <w:p>
      <w:pPr>
        <w:pStyle w:val="Heading1"/>
        <w:bidi/>
      </w:pPr>
      <w:bookmarkStart w:name="_sec5" w:id="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مصفوفة RACI لوثائق P0</w:t>
      </w:r>
      <w:bookmarkEnd w:id="5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الحالة من السجل عند 42056ac (docs/30-readiness-documents.md:11-55). R هو المالك المقترح في السجل، وA غيره وفق §3.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30"/>
        <w:gridCol w:w="979"/>
        <w:gridCol w:w="979"/>
        <w:gridCol w:w="1171"/>
        <w:gridCol w:w="1756"/>
        <w:gridCol w:w="2049"/>
      </w:tblGrid>
      <w:tr>
        <w:trPr>
          <w:cantSplit/>
          <w:tblHeader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الوثيقة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A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R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C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I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الشريحة · الحالة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DOC-F01 السياق وحدود الثقة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QA، OPS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DOC-F02 تدفقات البيانات الحساسة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DBA، LEG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DOC-F03 الدخول وMFA والاسترداد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DBA، APP، UX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جزئي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DOC-F04 ربط سياق المشترك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SA، APP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QA، OPS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جزئي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DOC-F05 تهيئة المشترك ودورة حياته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DBA، SEC، OPS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QA، PM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DOC-F06 حالات المستخدم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DBA، BA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جزئي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DOC-F07 حالات استخدام M0 وM1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TRM، SA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QA، UX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لـ M0، S1 لـ M1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DOC-F08 حالة الطلب الموحّد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TRM، SA، DBA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QA، PM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قرار قبل S0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DOC-S01 نموذج التهديدات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SA، DBA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QA، OPS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DOC-S02 المفاتيح والتشفير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DBA، OPS، LEG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DOC-S03 معمارية الأمن والجلسات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DBA، APP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QA، OPS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جزئي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DOC-S04 كلمات المرور وMFA والاسترداد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SA، DBA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QA، BA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جزئي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DOC-S05 سياسة TLS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QA، APP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DOC-S06 تصنيف البيانات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LEG، SA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DOC-S07 الخصوصية وحماية البيانات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LEG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SEC، DBA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SA، PM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DOC-S08 حسابات القاعدة وأسرارها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OPS، SA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جزئي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DOC-S09 النسخ والاستعادة والتعافي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DBA، SEC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PM، QA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DOC-B01 استراتيجية الاختبار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DBA، SA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DOC-B02 معايير القبول S0 وS1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QA، TRM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SA، PM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DOC-B03 المتطلبات غير الوظيفية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OPS، SEC، DBA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QA، PM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DOC-B04 عقد الواجهة ونموذج الأخطاء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SEC، DBA، QA، UX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مسودة 0.1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DOC-B05 البذر والترحيل الأولي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TRM، LEG، SA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QA، OPS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مسودة 0.1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DOC-B07 الشاشات والتنقل لـ S0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UX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APP، BA، TRM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DOC-B09 هذه الوثيقة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TRM، SA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الجميع عبر PM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مسودة 0.1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DOC-B10 المسرد ثنائي اللغة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TRM، UX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APP، QA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DOC-B11 البيئات والبناء والإصدار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DBA، SEC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QA، PM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ناقص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6" w:id="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سجل ملكية القرارات</w:t>
      </w:r>
      <w:bookmarkEnd w:id="6"/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6.1 القرارات في tools/dbgen/erd_open_items.py</w:t>
      </w:r>
      <w:bookmarkEnd w:id="7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رقم السطر بين القوسين موضع البند في الملف.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10"/>
        <w:gridCol w:w="814"/>
        <w:gridCol w:w="814"/>
        <w:gridCol w:w="814"/>
        <w:gridCol w:w="814"/>
        <w:gridCol w:w="5398"/>
      </w:tblGrid>
      <w:tr>
        <w:trPr>
          <w:cantSplit/>
          <w:tblHeader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القرار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R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C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I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الشريحة · الحالة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O-01 خوارزمية كلمة المرور (:14)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DBA، APP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مقرَّر 2026-10-12؛ مكتبة .NET مفتوحة (R: APP، A: SEC)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O-02 التنفيذ على SQL Server 2025 (:20)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PM، QA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منفَّذ بـ db_ci.sh في بيئة التطوير وعلى GitHub منذ 2026-10-12 (:22)؛ الإنتاج ضمن O-23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O-03 حصص المقرضين (:26)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SA، 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 · القادح منفَّذ؛ تغيير المقرض بعد الاعتماد مفتوح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O-04 دافع SHARED في الرسوم (:32)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 · مقرَّر ومنفَّذ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O-05 اكتمال صفوف رسوم الاعتماد (:38)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DBA، LEG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 · مفتوح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O-06 أرقام مواد UCP 600 (:44)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LEG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BA، QA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 · مفتوح (Q-LCT-01)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O-07 الأسئلة الـ155 (:50)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TRM، SA، 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مفتوح؛ §7 تقترح المالكين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O-08 سياسة TLS (:56)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QA، APP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مفتوح (DOC-S05)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O-09 العزل على مستوى الواجهة (:62)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APP، 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 S0 · جزئي: القاعدة مختبرة والواجهة لم تُبنَ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O-10 فهارس wfl.Request (:68)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 · مقرَّر؛ مراجعة لاحقة بـ Query Store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O-11 القيم المشتقة (:74)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بعد S3 · مؤجَّل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O-12 الترقيم بلا فجوات (:80)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LEG، TRM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مفتوح (Q-PLT-08)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O-13 الحذف المتتالي في org (:86)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LEG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 · مغلق (2026-10-13، docs/adr/0006-kyc-history-and-cascade-deletes.md)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O-14 بدء الشرائح (:98)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SA، QA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مفتوح؛ هو البوابة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O-15 عيوب التنفيذ الأربعة (:92)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مغلق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O-16 ربط الاتصال بالمشترك (:104)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مغلق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O-17 المستخدم في الربط (:110)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مغلق (ADR 0002)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O-18 دخول المشترك المعلّق (:116)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SEC، TRM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QA، APP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قبل S0 · مفتوح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O-19 تدقيق بلا مشترك من اتصال المشترك (:122)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مفتوح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O-20 مراجع إلى جداول مختلطة (:128)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 · مفتوح؛ أول مرجع في lc (db/model/16-letters-of-credit.model:91)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O-21 تسرّب الفرادة (:134)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مفتوح؛ DOC-B04 §4 يخفف جزءًا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O-22 المؤشرات ورموز الخطأ (:140)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مفتوح، منخفض؛ DOC-B04 يوحّد 50002 و50003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O-23 Ubuntu 24.04 للإنتاج (:146)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DBA، SEC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مقرَّر؛ متابعات مفتوحة: صفحة الدعم والخادم والمفاتيح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O-24 مخاطر داخل المشترك (:152)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مفتوح، متوسط؛ يُقفل قبل كتابة كود الدخول (:155)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6.2 البنود في docs/20-database-design.md §16</w:t>
      </w:r>
      <w:bookmarkEnd w:id="8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البنود في §16 (السطور 525-543)، لا في §15 الذي يحوي القرارات المتخذة DB-1 إلى DB-21.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2"/>
        <w:gridCol w:w="894"/>
        <w:gridCol w:w="894"/>
        <w:gridCol w:w="1811"/>
        <w:gridCol w:w="5263"/>
      </w:tblGrid>
      <w:tr>
        <w:trPr>
          <w:cantSplit/>
          <w:tblHeader/>
        </w:trPr>
        <w:tc>
          <w:tcPr>
            <w:tcW w:type="dxa" w:w="1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A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R</w:t>
            </w:r>
          </w:p>
        </w:tc>
        <w:tc>
          <w:tcPr>
            <w:tcW w:type="dxa" w:w="18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5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يقابله</w:t>
            </w:r>
          </w:p>
        </w:tc>
      </w:tr>
      <w:tr>
        <w:trPr>
          <w:cantSplit/>
        </w:trPr>
        <w:tc>
          <w:tcPr>
            <w:tcW w:type="dxa" w:w="1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 التنفيذ على SQL Server (:529)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8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محلول في بيئة التطوير ويمر على GitHub؛ يبقى النشر على الإنتاج</w:t>
            </w:r>
          </w:p>
        </w:tc>
        <w:tc>
          <w:tcPr>
            <w:tcW w:type="dxa" w:w="5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O-02 (erd_open_items)</w:t>
            </w:r>
          </w:p>
        </w:tc>
      </w:tr>
      <w:tr>
        <w:trPr>
          <w:cantSplit/>
        </w:trPr>
        <w:tc>
          <w:tcPr>
            <w:tcW w:type="dxa" w:w="1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 أداة الترحيل (:530)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8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مفتوح؛ قبل أول بيانات حقيقية</w:t>
            </w:r>
          </w:p>
        </w:tc>
        <w:tc>
          <w:tcPr>
            <w:tcW w:type="dxa" w:w="5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DQ-B05-10</w:t>
            </w:r>
          </w:p>
        </w:tc>
      </w:tr>
      <w:tr>
        <w:trPr>
          <w:cantSplit/>
        </w:trPr>
        <w:tc>
          <w:tcPr>
            <w:tcW w:type="dxa" w:w="1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O-3 البذور (:531)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8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مفتوح؛ S0</w:t>
            </w:r>
          </w:p>
        </w:tc>
        <w:tc>
          <w:tcPr>
            <w:tcW w:type="dxa" w:w="5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DOC-B05</w:t>
            </w:r>
          </w:p>
        </w:tc>
      </w:tr>
      <w:tr>
        <w:trPr>
          <w:cantSplit/>
        </w:trPr>
        <w:tc>
          <w:tcPr>
            <w:tcW w:type="dxa" w:w="1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O-4 الأسئلة المفتوحة (:532)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</w:t>
            </w:r>
          </w:p>
        </w:tc>
        <w:tc>
          <w:tcPr>
            <w:tcW w:type="dxa" w:w="18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</w:t>
            </w:r>
          </w:p>
        </w:tc>
        <w:tc>
          <w:tcPr>
            <w:tcW w:type="dxa" w:w="5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O-07 (erd_open_items)</w:t>
            </w:r>
          </w:p>
        </w:tc>
      </w:tr>
      <w:tr>
        <w:trPr>
          <w:cantSplit/>
        </w:trPr>
        <w:tc>
          <w:tcPr>
            <w:tcW w:type="dxa" w:w="1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O-5 الأعمدة المحسوبة (:533)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8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مؤجَّل</w:t>
            </w:r>
          </w:p>
        </w:tc>
        <w:tc>
          <w:tcPr>
            <w:tcW w:type="dxa" w:w="5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O-11 (erd_open_items)</w:t>
            </w:r>
          </w:p>
        </w:tc>
      </w:tr>
      <w:tr>
        <w:trPr>
          <w:cantSplit/>
        </w:trPr>
        <w:tc>
          <w:tcPr>
            <w:tcW w:type="dxa" w:w="1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O-6 الاحتفاظ والأرشفة (:534)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LEG</w:t>
            </w:r>
          </w:p>
        </w:tc>
        <w:tc>
          <w:tcPr>
            <w:tcW w:type="dxa" w:w="18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مفتوح؛ قبل البيانات الحقيقية</w:t>
            </w:r>
          </w:p>
        </w:tc>
        <w:tc>
          <w:tcPr>
            <w:tcW w:type="dxa" w:w="5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DOC-S07</w:t>
            </w:r>
          </w:p>
        </w:tc>
      </w:tr>
      <w:tr>
        <w:trPr>
          <w:cantSplit/>
        </w:trPr>
        <w:tc>
          <w:tcPr>
            <w:tcW w:type="dxa" w:w="1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O-7 استعادة مشترك واحد (:535)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18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</w:t>
            </w:r>
          </w:p>
        </w:tc>
        <w:tc>
          <w:tcPr>
            <w:tcW w:type="dxa" w:w="5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DOC-S09</w:t>
            </w:r>
          </w:p>
        </w:tc>
      </w:tr>
      <w:tr>
        <w:trPr>
          <w:cantSplit/>
        </w:trPr>
        <w:tc>
          <w:tcPr>
            <w:tcW w:type="dxa" w:w="1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O-8 نوع JSON الأصلي (:536)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8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مؤجَّل</w:t>
            </w:r>
          </w:p>
        </w:tc>
        <w:tc>
          <w:tcPr>
            <w:tcW w:type="dxa" w:w="5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O-9 ما قبل المصادقة (:537)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18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الدخول مغلق بـ ADR 0002؛ الدعوة والإعادة مفتوحتان</w:t>
            </w:r>
          </w:p>
        </w:tc>
        <w:tc>
          <w:tcPr>
            <w:tcW w:type="dxa" w:w="5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DOC-F03؛ O-24 (erd_open_items)</w:t>
            </w:r>
          </w:p>
        </w:tc>
      </w:tr>
      <w:tr>
        <w:trPr>
          <w:cantSplit/>
        </w:trPr>
        <w:tc>
          <w:tcPr>
            <w:tcW w:type="dxa" w:w="1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O-10 إقفال دورة العمل في المواصفة 13 (:538)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  <w:tc>
          <w:tcPr>
            <w:tcW w:type="dxa" w:w="18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مغلق (2026-10-13): BR-WFL-027 وFR-WFL-042 في المواصفة 13</w:t>
            </w:r>
          </w:p>
        </w:tc>
        <w:tc>
          <w:tcPr>
            <w:tcW w:type="dxa" w:w="5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DOC-F08</w:t>
            </w:r>
          </w:p>
        </w:tc>
      </w:tr>
      <w:tr>
        <w:trPr>
          <w:cantSplit/>
        </w:trPr>
        <w:tc>
          <w:tcPr>
            <w:tcW w:type="dxa" w:w="1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O-11 الهوية من التطبيق (:539)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8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مغلق: «محلول (2026-10-12)» بـ ADR 0002</w:t>
            </w:r>
          </w:p>
        </w:tc>
        <w:tc>
          <w:tcPr>
            <w:tcW w:type="dxa" w:w="5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O-17 (erd_open_items)</w:t>
            </w:r>
          </w:p>
        </w:tc>
      </w:tr>
      <w:tr>
        <w:trPr>
          <w:cantSplit/>
        </w:trPr>
        <w:tc>
          <w:tcPr>
            <w:tcW w:type="dxa" w:w="1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O-12 إجراءات المنصة على بيانات المشترك (:540)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8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مفتوح؛ S0</w:t>
            </w:r>
          </w:p>
        </w:tc>
        <w:tc>
          <w:tcPr>
            <w:tcW w:type="dxa" w:w="5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DOC-F05</w:t>
            </w:r>
          </w:p>
        </w:tc>
      </w:tr>
      <w:tr>
        <w:trPr>
          <w:cantSplit/>
        </w:trPr>
        <w:tc>
          <w:tcPr>
            <w:tcW w:type="dxa" w:w="1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O-13 مرساة سلسلة التدقيق (:541)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18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مفتوح؛ S2 (FR-PLT-025)</w:t>
            </w:r>
          </w:p>
        </w:tc>
        <w:tc>
          <w:tcPr>
            <w:tcW w:type="dxa" w:w="5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O-14 RPO وRTO (:542)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18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محسوم (DQ-S09-1، 2026-10-12)؛ يبقى التمرين المقاس شرطًا قبل البيانات الحقيقية</w:t>
            </w:r>
          </w:p>
        </w:tc>
        <w:tc>
          <w:tcPr>
            <w:tcW w:type="dxa" w:w="5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DOC-S09</w:t>
            </w:r>
          </w:p>
        </w:tc>
      </w:tr>
      <w:tr>
        <w:trPr>
          <w:cantSplit/>
        </w:trPr>
        <w:tc>
          <w:tcPr>
            <w:tcW w:type="dxa" w:w="1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O-15 نتائج المراجعة 36 و4 (:543)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8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مغلق (2026-10-13): الدفعتان منفّذتان، والدفعة (ب) شروط دخول S1 إلى S4 في 044 (ADR 0011؛ RF19 إلى RF34)، وقوّتها المراجعة الذاتية في 2026-10-18</w:t>
            </w:r>
          </w:p>
        </w:tc>
        <w:tc>
          <w:tcPr>
            <w:tcW w:type="dxa" w:w="5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docs/review/design-review-2026-10-11.json، docs/32-review-findings-decisions.md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9" w:id="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الأسئلة المفتوحة الـ155</w:t>
      </w:r>
      <w:bookmarkEnd w:id="9"/>
    </w:p>
    <w:p>
      <w:pPr>
        <w:pStyle w:val="Heading2"/>
        <w:bidi/>
      </w:pPr>
      <w:bookmarkStart w:name="_sec10" w:id="1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7.1 الاقتراح</w:t>
      </w:r>
      <w:bookmarkEnd w:id="10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السجل الموحّد مولَّد من §14 في المواصفات 10 إلى 14 بأعمدة المعرّف والسؤال والافتراضي فقط (docs/10-detailed-analysis/90-consolidated-open-questions.md:1-5؛ tools/gen_indexes.py:8-11). نقترح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إضافة ثلاثة أعمدة إلى جدول §14 في كل مواصفة: «المالك (A)» و«مطلوب قبل» و«موعد المراجعة».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تعديل tools/gen_indexes.py لينقل الأعمدة الجديدة، ويطبع عدد المفتوح لكل شريحة في رأس السجل.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عدّ «مغلق» مثل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السجل يعدّ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وحدها، فيذكر 7 محسومة، بينما Q-PLT-10 مكتوب «مغلق» (90-consolidated…:20). المحسوم فعلًا 8، والمفتوح 147.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طريقة الحساب أدناه: المفتوح = كل سؤال بلا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ولا «مغلق». الشريحة = أبكر شريحة بين متطلبات FR المذكورة في صف السؤال، وإن لم يذكر متطلبًا فأبكر شريحة لمتطلبات بادئته في 91-requirements-index.md. هي نقطة بداية يصححها المالك.</w:t>
      </w:r>
    </w:p>
    <w:p>
      <w:pPr>
        <w:pStyle w:val="Heading2"/>
        <w:bidi/>
      </w:pPr>
      <w:bookmarkStart w:name="_sec11" w:id="1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7.2 العدد بحسب الوحدة</w:t>
      </w:r>
      <w:bookmarkEnd w:id="11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47"/>
        <w:gridCol w:w="1684"/>
        <w:gridCol w:w="1684"/>
        <w:gridCol w:w="1684"/>
        <w:gridCol w:w="2165"/>
      </w:tblGrid>
      <w:tr>
        <w:trPr>
          <w:cantSplit/>
          <w:tblHeader/>
        </w:trPr>
        <w:tc>
          <w:tcPr>
            <w:tcW w:type="dxa" w:w="26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الوحدة في السجل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المجموع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المحسوم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المفتوح</w:t>
            </w:r>
          </w:p>
        </w:tc>
        <w:tc>
          <w:tcPr>
            <w:tcW w:type="dxa" w:w="21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A المقترح</w:t>
            </w:r>
          </w:p>
        </w:tc>
      </w:tr>
      <w:tr>
        <w:trPr>
          <w:cantSplit/>
        </w:trPr>
        <w:tc>
          <w:tcPr>
            <w:tcW w:type="dxa" w:w="26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م0/م1 المنصة والهيكل والأشخاص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32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28</w:t>
            </w:r>
          </w:p>
        </w:tc>
        <w:tc>
          <w:tcPr>
            <w:tcW w:type="dxa" w:w="21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 للمنصة (والأمنية SEC)، TRM للهيكل والأشخاص</w:t>
            </w:r>
          </w:p>
        </w:tc>
      </w:tr>
      <w:tr>
        <w:trPr>
          <w:cantSplit/>
        </w:trPr>
        <w:tc>
          <w:tcPr>
            <w:tcW w:type="dxa" w:w="26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م2–م4 المنشآت والحسابات والكتالوجات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27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27</w:t>
            </w:r>
          </w:p>
        </w:tc>
        <w:tc>
          <w:tcPr>
            <w:tcW w:type="dxa" w:w="21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</w:tr>
      <w:tr>
        <w:trPr>
          <w:cantSplit/>
        </w:trPr>
        <w:tc>
          <w:tcPr>
            <w:tcW w:type="dxa" w:w="26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م5 التسهيلات والتسعير والضمانات والالتزامات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32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30</w:t>
            </w:r>
          </w:p>
        </w:tc>
        <w:tc>
          <w:tcPr>
            <w:tcW w:type="dxa" w:w="21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</w:tr>
      <w:tr>
        <w:trPr>
          <w:cantSplit/>
        </w:trPr>
        <w:tc>
          <w:tcPr>
            <w:tcW w:type="dxa" w:w="26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م6 محرك الطلبات والإشعارات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29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27</w:t>
            </w:r>
          </w:p>
        </w:tc>
        <w:tc>
          <w:tcPr>
            <w:tcW w:type="dxa" w:w="21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</w:tr>
      <w:tr>
        <w:trPr>
          <w:cantSplit/>
        </w:trPr>
        <w:tc>
          <w:tcPr>
            <w:tcW w:type="dxa" w:w="26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م7/م8 الاعتمادات المستندية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35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35</w:t>
            </w:r>
          </w:p>
        </w:tc>
        <w:tc>
          <w:tcPr>
            <w:tcW w:type="dxa" w:w="21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TRM، ويستشير LEG</w:t>
            </w:r>
          </w:p>
        </w:tc>
      </w:tr>
      <w:tr>
        <w:trPr>
          <w:cantSplit/>
        </w:trPr>
        <w:tc>
          <w:tcPr>
            <w:tcW w:type="dxa" w:w="26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المجموع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155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147</w:t>
            </w:r>
          </w:p>
        </w:tc>
        <w:tc>
          <w:tcPr>
            <w:tcW w:type="dxa" w:w="21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المحسوم: Q-PLT-01 وQ-PLT-03 وQ-PLT-05 وQ-PLT-10 وQ-FAC-02 وQ-FAC-08 وQ-WFL-07 وQ-REQ-07.</w:t>
      </w:r>
    </w:p>
    <w:p>
      <w:pPr>
        <w:pStyle w:val="Heading2"/>
        <w:bidi/>
      </w:pPr>
      <w:bookmarkStart w:name="_sec12" w:id="1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7.3 العدد بحسب الشريحة (المفتوح)</w:t>
      </w:r>
      <w:bookmarkEnd w:id="1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77"/>
        <w:gridCol w:w="2877"/>
        <w:gridCol w:w="4110"/>
      </w:tblGrid>
      <w:tr>
        <w:trPr>
          <w:cantSplit/>
          <w:tblHeader/>
        </w:trPr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الشريحة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المفتوح</w:t>
            </w:r>
          </w:p>
        </w:tc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التوزيع</w:t>
            </w:r>
          </w:p>
        </w:tc>
      </w:tr>
      <w:tr>
        <w:trPr>
          <w:cantSplit/>
        </w:trPr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9</w:t>
            </w:r>
          </w:p>
        </w:tc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م0/م1: 8 (Q-PLT)؛ م6: 1 (Q-WFL-06)</w:t>
            </w:r>
          </w:p>
        </w:tc>
      </w:tr>
      <w:tr>
        <w:trPr>
          <w:cantSplit/>
        </w:trPr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52</w:t>
            </w:r>
          </w:p>
        </w:tc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م0/م1: 20 (ORG وPTY)؛ م2–م4: 26؛ م6: 6 (NTF)</w:t>
            </w:r>
          </w:p>
        </w:tc>
      </w:tr>
      <w:tr>
        <w:trPr>
          <w:cantSplit/>
        </w:trPr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25</w:t>
            </w:r>
          </w:p>
        </w:tc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م5: 25 (FAC وPRC وCOL وOBL وCMP)</w:t>
            </w:r>
          </w:p>
        </w:tc>
      </w:tr>
      <w:tr>
        <w:trPr>
          <w:cantSplit/>
        </w:trPr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S2-ب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م5: 5 (FIN)</w:t>
            </w:r>
          </w:p>
        </w:tc>
      </w:tr>
      <w:tr>
        <w:trPr>
          <w:cantSplit/>
        </w:trPr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44</w:t>
            </w:r>
          </w:p>
        </w:tc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م6: 20 (WFL وREQ)؛ م7/م8: 24 (LCT وLCI)</w:t>
            </w:r>
          </w:p>
        </w:tc>
      </w:tr>
      <w:tr>
        <w:trPr>
          <w:cantSplit/>
        </w:trPr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S4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</w:t>
            </w:r>
          </w:p>
        </w:tc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م7/م8: 11 (LCE)</w:t>
            </w:r>
          </w:p>
        </w:tc>
      </w:tr>
      <w:tr>
        <w:trPr>
          <w:cantSplit/>
        </w:trPr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S5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م2–م4: 1 (Q-CAT-02)</w:t>
            </w:r>
          </w:p>
        </w:tc>
      </w:tr>
      <w:tr>
        <w:trPr>
          <w:cantSplit/>
        </w:trPr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المجموع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147</w:t>
            </w:r>
          </w:p>
        </w:tc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3" w:id="1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7.4 أسئلة S0 التسعة</w:t>
      </w:r>
      <w:bookmarkEnd w:id="1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00"/>
        <w:gridCol w:w="930"/>
        <w:gridCol w:w="930"/>
        <w:gridCol w:w="3904"/>
      </w:tblGrid>
      <w:tr>
        <w:trPr>
          <w:cantSplit/>
          <w:tblHeader/>
        </w:trPr>
        <w:tc>
          <w:tcPr>
            <w:tcW w:type="dxa" w:w="4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A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R</w:t>
            </w:r>
          </w:p>
        </w:tc>
        <w:tc>
          <w:tcPr>
            <w:tcW w:type="dxa" w:w="39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ملاحظة</w:t>
            </w:r>
          </w:p>
        </w:tc>
      </w:tr>
      <w:tr>
        <w:trPr>
          <w:cantSplit/>
        </w:trPr>
        <w:tc>
          <w:tcPr>
            <w:tcW w:type="dxa" w:w="4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Q-PLT-02 طرق MFA (90-consolidated…:12)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39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DOC-S04</w:t>
            </w:r>
          </w:p>
        </w:tc>
      </w:tr>
      <w:tr>
        <w:trPr>
          <w:cantSplit/>
        </w:trPr>
        <w:tc>
          <w:tcPr>
            <w:tcW w:type="dxa" w:w="4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Q-PLT-04 مدد الاحتفاظ (:14)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LEG</w:t>
            </w:r>
          </w:p>
        </w:tc>
        <w:tc>
          <w:tcPr>
            <w:tcW w:type="dxa" w:w="39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DOC-S07؛ O-6 (20-database-design)</w:t>
            </w:r>
          </w:p>
        </w:tc>
      </w:tr>
      <w:tr>
        <w:trPr>
          <w:cantSplit/>
        </w:trPr>
        <w:tc>
          <w:tcPr>
            <w:tcW w:type="dxa" w:w="4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Q-PLT-06 وصول الدعم المؤقت (:16)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39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FR-PLT-007</w:t>
            </w:r>
          </w:p>
        </w:tc>
      </w:tr>
      <w:tr>
        <w:trPr>
          <w:cantSplit/>
        </w:trPr>
        <w:tc>
          <w:tcPr>
            <w:tcW w:type="dxa" w:w="4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Q-PLT-07 شكل الأرقام (:17)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UX</w:t>
            </w:r>
          </w:p>
        </w:tc>
        <w:tc>
          <w:tcPr>
            <w:tcW w:type="dxa" w:w="39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FR-PLT-034</w:t>
            </w:r>
          </w:p>
        </w:tc>
      </w:tr>
      <w:tr>
        <w:trPr>
          <w:cantSplit/>
        </w:trPr>
        <w:tc>
          <w:tcPr>
            <w:tcW w:type="dxa" w:w="4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Q-PLT-08 الترقيم بلا فجوات (:18)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39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يقابله O-12 (erd_open_items)</w:t>
            </w:r>
          </w:p>
        </w:tc>
      </w:tr>
      <w:tr>
        <w:trPr>
          <w:cantSplit/>
        </w:trPr>
        <w:tc>
          <w:tcPr>
            <w:tcW w:type="dxa" w:w="4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Q-PLT-09 مصدر العطل (:19)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39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DOC-B05 §4.1</w:t>
            </w:r>
          </w:p>
        </w:tc>
      </w:tr>
      <w:tr>
        <w:trPr>
          <w:cantSplit/>
        </w:trPr>
        <w:tc>
          <w:tcPr>
            <w:tcW w:type="dxa" w:w="4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Q-PLT-11 حدود الباقة (:21)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</w:t>
            </w:r>
          </w:p>
        </w:tc>
        <w:tc>
          <w:tcPr>
            <w:tcW w:type="dxa" w:w="39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DQ-B05-4</w:t>
            </w:r>
          </w:p>
        </w:tc>
      </w:tr>
      <w:tr>
        <w:trPr>
          <w:cantSplit/>
        </w:trPr>
        <w:tc>
          <w:tcPr>
            <w:tcW w:type="dxa" w:w="4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Q-PLT-12 حفظ المفتاح الرئيسي (:22)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39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بوابة S0؛ DOC-S02</w:t>
            </w:r>
          </w:p>
        </w:tc>
      </w:tr>
      <w:tr>
        <w:trPr>
          <w:cantSplit/>
        </w:trPr>
        <w:tc>
          <w:tcPr>
            <w:tcW w:type="dxa" w:w="4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Q-WFL-06 مهل SLA وساعات العمل (:122)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  <w:tc>
          <w:tcPr>
            <w:tcW w:type="dxa" w:w="39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يذكر FR-PLT-043 (S0)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4" w:id="1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7.5 المالك المقترح لكل بادئة</w:t>
      </w:r>
      <w:bookmarkEnd w:id="1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18"/>
        <w:gridCol w:w="1918"/>
        <w:gridCol w:w="1918"/>
        <w:gridCol w:w="2192"/>
        <w:gridCol w:w="1918"/>
      </w:tblGrid>
      <w:tr>
        <w:trPr>
          <w:cantSplit/>
          <w:tblHeader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البادئة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المفتوح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الشريحة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A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R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PLT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OWN، والأمنية SEC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BA، ويستشير LEG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BA، ويستشير LEG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ACC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 (وواحد S5)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PRC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COL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OBL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CMP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FIN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S2-ب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WFL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 (وواحد S0)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REQ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LCT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BA، ويستشير LEG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LCI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LCE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S4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5" w:id="1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القرارات المطلوبة</w:t>
      </w:r>
      <w:bookmarkEnd w:id="1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5"/>
        <w:gridCol w:w="3932"/>
        <w:gridCol w:w="2246"/>
        <w:gridCol w:w="945"/>
        <w:gridCol w:w="1796"/>
      </w:tblGrid>
      <w:tr>
        <w:trPr>
          <w:cantSplit/>
          <w:tblHeader/>
        </w:trPr>
        <w:tc>
          <w:tcPr>
            <w:tcW w:type="dxa" w:w="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3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22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17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DQ-B09-1</w:t>
            </w:r>
          </w:p>
        </w:tc>
        <w:tc>
          <w:tcPr>
            <w:tcW w:type="dxa" w:w="3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OWN وTRM شخص واحد لدى العميل؟ السجل يسمّي مدير الخزينة صاحب القرار (docs/30-readiness-documents.md:55)</w:t>
            </w:r>
          </w:p>
        </w:tc>
        <w:tc>
          <w:tcPr>
            <w:tcW w:type="dxa" w:w="22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دوران منفصلان. إن شغلهما شخص واحد يعتمد SEC أو SA ما يقترحه هذا الشخص تقنيًا، ويُسجَّل الاستثناء لغيره</w:t>
            </w:r>
          </w:p>
        </w:tc>
        <w:tc>
          <w:tcPr>
            <w:tcW w:type="dxa" w:w="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17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خانات A</w:t>
            </w:r>
          </w:p>
        </w:tc>
      </w:tr>
      <w:tr>
        <w:trPr>
          <w:cantSplit/>
        </w:trPr>
        <w:tc>
          <w:tcPr>
            <w:tcW w:type="dxa" w:w="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DQ-B09-2</w:t>
            </w:r>
          </w:p>
        </w:tc>
        <w:tc>
          <w:tcPr>
            <w:tcW w:type="dxa" w:w="3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عمود المالك في سجل الأسئلة</w:t>
            </w:r>
          </w:p>
        </w:tc>
        <w:tc>
          <w:tcPr>
            <w:tcW w:type="dxa" w:w="22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ثلاثة أعمدة في §14 لكل مواصفة وتعديل tools/gen_indexes.py (§7.1)</w:t>
            </w:r>
          </w:p>
        </w:tc>
        <w:tc>
          <w:tcPr>
            <w:tcW w:type="dxa" w:w="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OWN، وR: PM</w:t>
            </w:r>
          </w:p>
        </w:tc>
        <w:tc>
          <w:tcPr>
            <w:tcW w:type="dxa" w:w="17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O-07 (erd_open_items)</w:t>
            </w:r>
          </w:p>
        </w:tc>
      </w:tr>
      <w:tr>
        <w:trPr>
          <w:cantSplit/>
        </w:trPr>
        <w:tc>
          <w:tcPr>
            <w:tcW w:type="dxa" w:w="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DQ-B09-3</w:t>
            </w:r>
          </w:p>
        </w:tc>
        <w:tc>
          <w:tcPr>
            <w:tcW w:type="dxa" w:w="3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إغلاق O-02 (erd_open_items) للبوابة</w:t>
            </w:r>
          </w:p>
        </w:tc>
        <w:tc>
          <w:tcPr>
            <w:tcW w:type="dxa" w:w="22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يكفي التنفيذ في CI؛ تشغيل الإنتاج ينتقل إلى متابعات O-23</w:t>
            </w:r>
          </w:p>
        </w:tc>
        <w:tc>
          <w:tcPr>
            <w:tcW w:type="dxa" w:w="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17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بوابة S0</w:t>
            </w:r>
          </w:p>
        </w:tc>
      </w:tr>
      <w:tr>
        <w:trPr>
          <w:cantSplit/>
        </w:trPr>
        <w:tc>
          <w:tcPr>
            <w:tcW w:type="dxa" w:w="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DQ-B09-4</w:t>
            </w:r>
          </w:p>
        </w:tc>
        <w:tc>
          <w:tcPr>
            <w:tcW w:type="dxa" w:w="3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إيقاع مراجعة القرارات</w:t>
            </w:r>
          </w:p>
        </w:tc>
        <w:tc>
          <w:tcPr>
            <w:tcW w:type="dxa" w:w="22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مراجعة أسبوعية يقودها PM، والمتأخر عن بدء شريحته يُصعَّد إلى OWN</w:t>
            </w:r>
          </w:p>
        </w:tc>
        <w:tc>
          <w:tcPr>
            <w:tcW w:type="dxa" w:w="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17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</w:t>
            </w:r>
          </w:p>
        </w:tc>
      </w:tr>
      <w:tr>
        <w:trPr>
          <w:cantSplit/>
        </w:trPr>
        <w:tc>
          <w:tcPr>
            <w:tcW w:type="dxa" w:w="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DQ-B09-5</w:t>
            </w:r>
          </w:p>
        </w:tc>
        <w:tc>
          <w:tcPr>
            <w:tcW w:type="dxa" w:w="3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فك تصادم الترقيم</w:t>
            </w:r>
          </w:p>
        </w:tc>
        <w:tc>
          <w:tcPr>
            <w:tcW w:type="dxa" w:w="22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تُسمّى بنود 20-database-design §16 بـ DB-O-n عند التعديل القادم للوثيقة</w:t>
            </w:r>
          </w:p>
        </w:tc>
        <w:tc>
          <w:tcPr>
            <w:tcW w:type="dxa" w:w="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7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§6.2</w:t>
            </w:r>
          </w:p>
        </w:tc>
      </w:tr>
      <w:tr>
        <w:trPr>
          <w:cantSplit/>
        </w:trPr>
        <w:tc>
          <w:tcPr>
            <w:tcW w:type="dxa" w:w="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DQ-B09-6</w:t>
            </w:r>
          </w:p>
        </w:tc>
        <w:tc>
          <w:tcPr>
            <w:tcW w:type="dxa" w:w="3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تحديث النصوص القديمة في سجل القرارات</w:t>
            </w:r>
          </w:p>
        </w:tc>
        <w:tc>
          <w:tcPr>
            <w:tcW w:type="dxa" w:w="22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تحديث حالة O-02 وO-03 في erd_open_items، وO-1 وO-9 وO-11 في 20-database-design</w:t>
            </w:r>
          </w:p>
        </w:tc>
        <w:tc>
          <w:tcPr>
            <w:tcW w:type="dxa" w:w="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7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6" w:id="1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تعارضات وفجوات في المصادر</w:t>
      </w:r>
      <w:bookmarkEnd w:id="16"/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صُحّح (2026-10-12): يعمل على GitHub. كان O-02 يقول إن أول تشغيل على GitHub «معلّق» وADR 0001 يقول إن CI مرّ على مشغّل GitHub قبل أن يمر، وملف الخط يومها تحت treasury-platform/.github/workflows/ وGitHub يقرأ الجذر وحده. الخط الآن ../.github/workflows/treasury-db-ci.yml (جذر المستودع)، وأول تشغيل أخضر https://github.com/thawrasy/smartlines/actions/runs/38283663041، ويقول الاثنان ذلك (tools/dbgen/erd_open_items.py:22؛ docs/adr/0001-schema-work-on-linux.md:11، :18).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tools/dbgen/erd_open_items.py:101 (O-14) يشترط O-01 وO-02 وO-07 فقط لبدء S0، بينما السجل يضع O-18 وحالة الطلب ونظام تشغيل التطبيق أولًا (docs/30-readiness-documents.md:445)، وADR 0001 يشترط المفاتيح والإقامة والنسخ قبل البيانات الحقيقية (:26).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00-overview…:352 ما زال يقول إن وثيقة القاعدة «لم تُنفَّذ على SQL Server بعد».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صُحّح (بعد bef5722) في docs/20-database-design.md: O-1 (:529) صار «محلول في بيئة التطوير» ويمر على GitHub أيضًا، ويُبقي النشر على الإنتاج، والرأس (:5) والخطوة التالية (:550) يقولان إنه نُشر في بيئة التطوير، كما في §14 (:492).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docs/20-database-design.md:537 (O-9) مفتوح في النص ويقترح sec.usp_SetAuthContext، وقد أغلق ADR 0002 و030 مسار الدخول (usp_GetPasswordParams وusp_StartSession).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صُحّح O-11 (:539) فصار «محلول (2026-10-12)» بإحالة إلى ADR 0002.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docs/20-database-design.md:543 (O-15) يحيل إلى §18.2، ولا يوجد §18 في الوثيقة (آخر قسم §17 في :547).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90-consolidated…:5 يذكر 7 محسومة، وQ-PLT-10 مغلق نصًا (:20)، فالعدد بعد احتسابه 8 محسومة و147 مفتوحة.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صُحّح السجل (docs/30-readiness-documents.md:406) فصار يقول 147.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جدول 00-overview §10.4 ما زال يعرض افتراض Q-PLT-05 «عربية كاملة» (:303) وQ-FAC-08 القديم (:310)، وقد حُسما في §10.4-ب (:320، :323).</w:t>
      </w:r>
    </w:p>
    <w:p>
      <w:pPr>
        <w:bidi/>
        <w:spacing w:after="60" w:before="0"/>
      </w:pPr>
    </w:p>
    <w:p>
      <w:pPr>
        <w:pStyle w:val="Heading1"/>
        <w:bidi/>
      </w:pPr>
      <w:bookmarkStart w:name="_sec17" w:id="17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التتبع</w:t>
      </w:r>
      <w:bookmarkEnd w:id="17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86"/>
        <w:gridCol w:w="2859"/>
        <w:gridCol w:w="5719"/>
      </w:tblGrid>
      <w:tr>
        <w:trPr>
          <w:cantSplit/>
          <w:tblHeader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28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57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 قاعدة المُعِدّ والمعتمِد</w:t>
            </w:r>
          </w:p>
        </w:tc>
        <w:tc>
          <w:tcPr>
            <w:tcW w:type="dxa" w:w="28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X-SEC-7، FR-WFL-009، BR-WFL-026، FR-WFL-041</w:t>
            </w:r>
          </w:p>
        </w:tc>
        <w:tc>
          <w:tcPr>
            <w:tcW w:type="dxa" w:w="57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00-overview…:142؛ 13-m6…:130، :162، :257؛ 10-m0-m1…:54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 سجل القرار</w:t>
            </w:r>
          </w:p>
        </w:tc>
        <w:tc>
          <w:tcPr>
            <w:tcW w:type="dxa" w:w="28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ADR، erd_open_items، §14</w:t>
            </w:r>
          </w:p>
        </w:tc>
        <w:tc>
          <w:tcPr>
            <w:tcW w:type="dxa" w:w="57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docs/adr؛ tools/dbgen/erd_open_items.py:4-6؛ tools/gen_indexes.py:8-11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 البوابة</w:t>
            </w:r>
          </w:p>
        </w:tc>
        <w:tc>
          <w:tcPr>
            <w:tcW w:type="dxa" w:w="28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O-01، O-02، O-07، O-14، O-18، O-23 (erd_open_items)؛ O-10 وO-14 (20-database-design)</w:t>
            </w:r>
          </w:p>
        </w:tc>
        <w:tc>
          <w:tcPr>
            <w:tcW w:type="dxa" w:w="57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tools/dbgen/erd_open_items.py:14-120، :146-150؛ docs/20-database-design.md:538، :542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 نظام تشغيل التطبيق</w:t>
            </w:r>
          </w:p>
        </w:tc>
        <w:tc>
          <w:tcPr>
            <w:tcW w:type="dxa" w:w="28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قرار مفتوح</w:t>
            </w:r>
          </w:p>
        </w:tc>
        <w:tc>
          <w:tcPr>
            <w:tcW w:type="dxa" w:w="57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00-overview…:226؛ docs/adr/0001-schema-work-on-linux.md:10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 وثائق P0</w:t>
            </w:r>
          </w:p>
        </w:tc>
        <w:tc>
          <w:tcPr>
            <w:tcW w:type="dxa" w:w="28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الوثائق الناقصة</w:t>
            </w:r>
          </w:p>
        </w:tc>
        <w:tc>
          <w:tcPr>
            <w:tcW w:type="dxa" w:w="57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docs/30-readiness-documents.md:13-58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§6.1 القرارات</w:t>
            </w:r>
          </w:p>
        </w:tc>
        <w:tc>
          <w:tcPr>
            <w:tcW w:type="dxa" w:w="28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O-01 إلى O-24</w:t>
            </w:r>
          </w:p>
        </w:tc>
        <w:tc>
          <w:tcPr>
            <w:tcW w:type="dxa" w:w="57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tools/dbgen/erd_open_items.py:12-157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§6.2 بنود القاعدة</w:t>
            </w:r>
          </w:p>
        </w:tc>
        <w:tc>
          <w:tcPr>
            <w:tcW w:type="dxa" w:w="28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 إلى O-15</w:t>
            </w:r>
          </w:p>
        </w:tc>
        <w:tc>
          <w:tcPr>
            <w:tcW w:type="dxa" w:w="57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docs/20-database-design.md:525-543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 الأسئلة</w:t>
            </w:r>
          </w:p>
        </w:tc>
        <w:tc>
          <w:tcPr>
            <w:tcW w:type="dxa" w:w="28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O-07؛ السجل الموحّد؛ فهرس المتطلبات</w:t>
            </w:r>
          </w:p>
        </w:tc>
        <w:tc>
          <w:tcPr>
            <w:tcW w:type="dxa" w:w="57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90-consolidated…:1-185؛ 91-requirements-index.md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DOC-B09 · BankFas · مستندات الجاهزية P0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5effc01b08852666a75f304a3b0f8f4395ebf2dd.png"/><Relationship Id="rId10" Type="http://schemas.openxmlformats.org/officeDocument/2006/relationships/image" Target="media/a9587711c10ac0038f38199fd19c512f013733fb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DOC-B09 — مصفوفة المسؤوليات وسجل ملكية القرارات</dc:title>
  <dc:creator>Claude</dc:creator>
  <dc:description>BankFas database design document</dc:description>
  <cp:lastModifiedBy>Un-named</cp:lastModifiedBy>
  <cp:revision>1</cp:revision>
  <dcterms:created xsi:type="dcterms:W3CDTF">2026-10-24T18:24:12.267Z</dcterms:created>
  <dcterms:modified xsi:type="dcterms:W3CDTF">2026-10-24T18:24:12.268Z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