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bidi/>
      </w:pPr>
      <w:r>
        <w:rPr>
          <w:rFonts w:ascii="Arial" w:cs="Arial" w:eastAsia="Arial" w:hAnsi="Arial"/>
          <w:b/>
          <w:bCs/>
          <w:color w:val="1F3A5F"/>
          <w:sz w:val="48"/>
          <w:szCs w:val="48"/>
          <w:rtl/>
        </w:rPr>
        <w:t xml:space="preserve">DOC-S01 — نموذج التهديدات (STRIDE لكل حد ثقة)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77"/>
        <w:gridCol w:w="8687"/>
      </w:tblGrid>
      <w:tr>
        <w:trPr>
          <w:cantSplit/>
          <w:tblHeader/>
        </w:trPr>
        <w:tc>
          <w:tcPr>
            <w:tcW w:type="dxa" w:w="11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</w:t>
            </w:r>
          </w:p>
        </w:tc>
        <w:tc>
          <w:tcPr>
            <w:tcW w:type="dxa" w:w="86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القيمة</w:t>
            </w:r>
          </w:p>
        </w:tc>
      </w:tr>
      <w:tr>
        <w:trPr>
          <w:cantSplit/>
        </w:trPr>
        <w:tc>
          <w:tcPr>
            <w:tcW w:type="dxa" w:w="11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86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DOC-S01 (docs/30-readiness-documents.md)</w:t>
            </w:r>
          </w:p>
        </w:tc>
      </w:tr>
      <w:tr>
        <w:trPr>
          <w:cantSplit/>
        </w:trPr>
        <w:tc>
          <w:tcPr>
            <w:tcW w:type="dxa" w:w="11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الإصدار</w:t>
            </w:r>
          </w:p>
        </w:tc>
        <w:tc>
          <w:tcPr>
            <w:tcW w:type="dxa" w:w="86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0.1 — مسودة للمراجعة — 2026-10-12</w:t>
            </w:r>
          </w:p>
        </w:tc>
      </w:tr>
      <w:tr>
        <w:trPr>
          <w:cantSplit/>
        </w:trPr>
        <w:tc>
          <w:tcPr>
            <w:tcW w:type="dxa" w:w="11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المالك المقترح</w:t>
            </w:r>
          </w:p>
        </w:tc>
        <w:tc>
          <w:tcPr>
            <w:tcW w:type="dxa" w:w="86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معماري الأمن</w:t>
            </w:r>
          </w:p>
        </w:tc>
      </w:tr>
      <w:tr>
        <w:trPr>
          <w:cantSplit/>
        </w:trPr>
        <w:tc>
          <w:tcPr>
            <w:tcW w:type="dxa" w:w="11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الأولوية</w:t>
            </w:r>
          </w:p>
        </w:tc>
        <w:tc>
          <w:tcPr>
            <w:tcW w:type="dxa" w:w="86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P0 قبل S0</w:t>
            </w:r>
          </w:p>
        </w:tc>
      </w:tr>
      <w:tr>
        <w:trPr>
          <w:cantSplit/>
        </w:trPr>
        <w:tc>
          <w:tcPr>
            <w:tcW w:type="dxa" w:w="11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يغطي</w:t>
            </w:r>
          </w:p>
        </w:tc>
        <w:tc>
          <w:tcPr>
            <w:tcW w:type="dxa" w:w="86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X-SEC-1 إلى X-SEC-7، FR-PLT-005، FR-PLT-007، FR-PLT-010 إلى FR-PLT-014، FR-PLT-021 إلى FR-PLT-023، FR-PLT-036، FR-PLT-037، BR-PLT-001، BR-PLT-002، BR-PLT-005، BR-PLT-009، BR-PLT-017، O-16 إلى O-24 (erd_open_items)، O-12 وO-13 (20-database-design)، R4 وR5 (01)</w:t>
            </w:r>
          </w:p>
        </w:tc>
      </w:tr>
      <w:tr>
        <w:trPr>
          <w:cantSplit/>
        </w:trPr>
        <w:tc>
          <w:tcPr>
            <w:tcW w:type="dxa" w:w="11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يعتمد على</w:t>
            </w:r>
          </w:p>
        </w:tc>
        <w:tc>
          <w:tcPr>
            <w:tcW w:type="dxa" w:w="86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DOC-F01 (الحدود TB والفاعلون)، DOC-F02 (تدفقات القيم الحساسة)</w:t>
            </w:r>
          </w:p>
        </w:tc>
      </w:tr>
      <w:tr>
        <w:trPr>
          <w:cantSplit/>
        </w:trPr>
        <w:tc>
          <w:tcPr>
            <w:tcW w:type="dxa" w:w="11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المصادر</w:t>
            </w:r>
          </w:p>
        </w:tc>
        <w:tc>
          <w:tcPr>
            <w:tcW w:type="dxa" w:w="86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db/static/010_rls.sql، db/static/020_roles_and_grants.sql، db/static/025_tenant_views.sql، db/static/030_session_context.sql، db/generated/tsql/005_delete_grants.sql، db/generated/tsql/006_sensitive_columns.sql، db/generated/tsql/007_table_grants.sql، db/model/10-platform.model، db/tests/tenant_isolation_tests.sql، tools/dbgen/erd_open_items.py، tools/dbgen/check_grants.py، tools/deploy/deploy.sh، tools/ci/db_ci.sh، ../.github/workflows/treasury-db-ci.yml (جذر المستودع)، docs/adr/0002-login-and-session-bound-context.md، docs/review/design-review-2026-10-11.json، docs/10-detailed-analysis/10-m0-m1-platform-organization.md</w:t>
            </w:r>
          </w:p>
        </w:tc>
      </w:tr>
    </w:tbl>
    <w:p>
      <w:pPr>
        <w:bidi/>
        <w:spacing w:after="120" w:before="0"/>
      </w:pPr>
    </w:p>
    <w:p>
      <w:pPr>
        <w:pBdr>
          <w:bottom w:val="single" w:color="1F3A5F" w:sz="8" w:space="4"/>
        </w:pBdr>
        <w:bidi/>
        <w:spacing w:after="100" w:before="280"/>
      </w:pPr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المحتويات</w:t>
      </w:r>
    </w:p>
    <w:p>
      <w:pPr>
        <w:bidi/>
        <w:spacing w:after="50" w:before="0"/>
        <w:ind w:left="0"/>
      </w:pPr>
      <w:hyperlink w:history="1" w:anchor="_sec1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1. الغرض والنطاق</w:t>
        </w:r>
      </w:hyperlink>
    </w:p>
    <w:p>
      <w:pPr>
        <w:bidi/>
        <w:spacing w:after="50" w:before="0"/>
        <w:ind w:left="0"/>
      </w:pPr>
      <w:hyperlink w:history="1" w:anchor="_sec2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2. المنهج والتقييم</w:t>
        </w:r>
      </w:hyperlink>
    </w:p>
    <w:p>
      <w:pPr>
        <w:bidi/>
        <w:spacing w:after="50" w:before="0"/>
        <w:ind w:left="0"/>
      </w:pPr>
      <w:hyperlink w:history="1" w:anchor="_sec3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3. الأصول</w:t>
        </w:r>
      </w:hyperlink>
    </w:p>
    <w:p>
      <w:pPr>
        <w:bidi/>
        <w:spacing w:after="50" w:before="0"/>
        <w:ind w:left="0"/>
      </w:pPr>
      <w:hyperlink w:history="1" w:anchor="_sec4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4. سجل التهديدات لكل حد</w:t>
        </w:r>
      </w:hyperlink>
    </w:p>
    <w:p>
      <w:pPr>
        <w:bidi/>
        <w:spacing w:after="50" w:before="0"/>
        <w:ind w:left="0"/>
      </w:pPr>
      <w:hyperlink w:history="1" w:anchor="_sec18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5. المخاطر المتبقية المسجلة</w:t>
        </w:r>
      </w:hyperlink>
    </w:p>
    <w:p>
      <w:pPr>
        <w:bidi/>
        <w:spacing w:after="50" w:before="0"/>
        <w:ind w:left="0"/>
      </w:pPr>
      <w:hyperlink w:history="1" w:anchor="_sec19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6. قائمة المعالجة المرتبة</w:t>
        </w:r>
      </w:hyperlink>
    </w:p>
    <w:p>
      <w:pPr>
        <w:bidi/>
        <w:spacing w:after="50" w:before="0"/>
        <w:ind w:left="0"/>
      </w:pPr>
      <w:hyperlink w:history="1" w:anchor="_sec20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7. القرارات المطلوبة</w:t>
        </w:r>
      </w:hyperlink>
    </w:p>
    <w:p>
      <w:pPr>
        <w:bidi/>
        <w:spacing w:after="50" w:before="0"/>
        <w:ind w:left="0"/>
      </w:pPr>
      <w:hyperlink w:history="1" w:anchor="_sec21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8. تعارضات وفجوات في المصادر</w:t>
        </w:r>
      </w:hyperlink>
    </w:p>
    <w:p>
      <w:pPr>
        <w:bidi/>
        <w:spacing w:after="50" w:before="0"/>
        <w:ind w:left="0"/>
      </w:pPr>
      <w:hyperlink w:history="1" w:anchor="_sec22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9. التتبع</w:t>
        </w:r>
      </w:hyperlink>
    </w:p>
    <w:p>
      <w:r>
        <w:br w:type="page"/>
      </w:r>
    </w:p>
    <w:p>
      <w:pPr>
        <w:pBdr>
          <w:top w:val="single" w:color="E8C766" w:sz="6" w:space="6"/>
          <w:left w:val="single" w:color="E8C766" w:sz="6" w:space="6"/>
          <w:bottom w:val="single" w:color="E8C766" w:sz="6" w:space="6"/>
          <w:right w:val="single" w:color="E8C766" w:sz="6" w:space="6"/>
        </w:pBdr>
        <w:shd w:fill="FFF8E1" w:color="auto" w:val="clear"/>
        <w:bidi/>
        <w:spacing w:after="160" w:before="60" w:line="300"/>
        <w:ind w:left="140" w:right="140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تحديث التنفيذ (2026-10-12):</w:t>
      </w: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 نُفّذت قرارات المالك لبوابة S0 في القاعدة (docs/adr/0003-account-security-in-the-database.md، db/static/030_session_context.sql، db/static/035_account_security.sql) وتمر في CI (48 حالة عزل و14 حالة حسابات في db/tests/auth_flow_tests.sql). أرقام الأسطر المذكورة لملف 030 في هذه الوثيقة تسبق هذا التحديث.</w:t>
      </w:r>
    </w:p>
    <w:p>
      <w:pPr>
        <w:pBdr>
          <w:top w:val="single" w:color="E8C766" w:sz="6" w:space="6"/>
          <w:left w:val="single" w:color="E8C766" w:sz="6" w:space="6"/>
          <w:bottom w:val="single" w:color="E8C766" w:sz="6" w:space="6"/>
          <w:right w:val="single" w:color="E8C766" w:sz="6" w:space="6"/>
        </w:pBdr>
        <w:shd w:fill="FFF8E1" w:color="auto" w:val="clear"/>
        <w:bidi/>
        <w:spacing w:after="160" w:before="60" w:line="300"/>
        <w:ind w:left="140" w:right="140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يخص هذه الوثيقة: THR-19 وTHR-20 وTHR-22 وTHR-23 أُغلقت بإجراءات 035 والـDENY ومصفوفة حالة المشترك؛ THR-21 مقبول كما اقتُرح، ومعه فحص تكرار الخطوة وحد الإخفاقات؛ O-19 مغلق (T44). وأُغلق آخر ما بقي من O-24 (R6) بـ ADR 0007 (2026-10-13): كل محاولة دخول تُنسخ إلى aud.AuditLog، فحذف صفوف sec.LoginAttempt لا يمحو الأثر (THR-30، الاختبار AU2).</w:t>
      </w:r>
    </w:p>
    <w:p>
      <w:pPr>
        <w:pStyle w:val="Heading1"/>
        <w:bidi/>
      </w:pPr>
      <w:bookmarkStart w:name="_sec1" w:id="1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1. الغرض والنطاق</w:t>
      </w:r>
      <w:bookmarkEnd w:id="1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يسجل هذا المستند التهديدات لكل حد ثقة في DOC-F01 بتصنيف STRIDE، والضابط القائم بموضعه في المستودع، والخطر المتبقي، والضابط المقترح، والتقييم، والمالك.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يضم المخاطر المتبقية المسجلة في O-18 إلى O-22 وO-24 (erd_open_items)، ويقترح لكل منها معالجة أو قبولًا بمالك.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النطاق: حالة المستودع عند 2026-10-12. ما لم يُبنَ بعد (التطبيق والواجهة ولوحة المشغّل) يُقيَّم بتصميمه في الوثائق.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خارج النطاق: قيم السياسات (DOC-S04)، تصميم الرمز والترويسات (DOC-S03)، TLS (DOC-S05)، خطة اختبار الأمن (DOC-S13)، الاستجابة للحوادث (DOC-S15).</w:t>
      </w:r>
    </w:p>
    <w:p>
      <w:pPr>
        <w:bidi/>
        <w:spacing w:after="60" w:before="0"/>
      </w:pPr>
    </w:p>
    <w:p>
      <w:pPr>
        <w:pStyle w:val="Heading1"/>
        <w:bidi/>
      </w:pPr>
      <w:bookmarkStart w:name="_sec2" w:id="2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2. المنهج والتقييم</w:t>
      </w:r>
      <w:bookmarkEnd w:id="2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STRIDE: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S انتحال، T عبث، R إنكار، I كشف معلومات، D تعطيل، E رفع امتياز.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التقييم = الاحتمال × الأثر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كلٌّ منهما عالٍ (ع) أو متوسط (م) أو منخفض (ن):</w:t>
      </w:r>
    </w:p>
    <w:p>
      <w:pPr>
        <w:bidi/>
        <w:spacing w:after="60" w:before="0"/>
      </w:pP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32"/>
        <w:gridCol w:w="2144"/>
        <w:gridCol w:w="2144"/>
        <w:gridCol w:w="2144"/>
      </w:tblGrid>
      <w:tr>
        <w:trPr>
          <w:cantSplit/>
          <w:tblHeader/>
        </w:trPr>
        <w:tc>
          <w:tcPr>
            <w:tcW w:type="dxa" w:w="34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الاحتمال / الأثر</w:t>
            </w:r>
          </w:p>
        </w:tc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أثر عالٍ</w:t>
            </w:r>
          </w:p>
        </w:tc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أثر متوسط</w:t>
            </w:r>
          </w:p>
        </w:tc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أثر منخفض</w:t>
            </w:r>
          </w:p>
        </w:tc>
      </w:tr>
      <w:tr>
        <w:trPr>
          <w:cantSplit/>
        </w:trPr>
        <w:tc>
          <w:tcPr>
            <w:tcW w:type="dxa" w:w="34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احتمال عالٍ</w:t>
            </w:r>
          </w:p>
        </w:tc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عالٍ</w:t>
            </w:r>
          </w:p>
        </w:tc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عالٍ</w:t>
            </w:r>
          </w:p>
        </w:tc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متوسط</w:t>
            </w:r>
          </w:p>
        </w:tc>
      </w:tr>
      <w:tr>
        <w:trPr>
          <w:cantSplit/>
        </w:trPr>
        <w:tc>
          <w:tcPr>
            <w:tcW w:type="dxa" w:w="34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احتمال متوسط</w:t>
            </w:r>
          </w:p>
        </w:tc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عالٍ</w:t>
            </w:r>
          </w:p>
        </w:tc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متوسط</w:t>
            </w:r>
          </w:p>
        </w:tc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منخفض</w:t>
            </w:r>
          </w:p>
        </w:tc>
      </w:tr>
      <w:tr>
        <w:trPr>
          <w:cantSplit/>
        </w:trPr>
        <w:tc>
          <w:tcPr>
            <w:tcW w:type="dxa" w:w="34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احتمال منخفض</w:t>
            </w:r>
          </w:p>
        </w:tc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متوسط</w:t>
            </w:r>
          </w:p>
        </w:tc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منخفض</w:t>
            </w:r>
          </w:p>
        </w:tc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منخفض</w:t>
            </w:r>
          </w:p>
        </w:tc>
      </w:tr>
    </w:tbl>
    <w:p>
      <w:pPr>
        <w:bidi/>
        <w:spacing w:after="120" w:before="0"/>
      </w:pP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الاحتمال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يفترض مهاجمًا من الإنترنت لـTB-1 وTB-2، واتصال تطبيق مخترقًا (حقن SQL أو تنفيذ شيفرة) لـTB-3 إلى TB-5، وحسابًا إداريًا مخترقًا لـTB-7 وTB-12.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الأثر عالٍ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إذا عبر حد مشترك، أو كشف قيمة مقيّدة، أو انتحل مستخدمًا ذا صلاحية حساسة، أو أفقد البيانات.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الاختبارات القائمة: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41 حالة عزل (T1-T38 مع T8b وT16b وT16c) و6 حالات لقاعدة الحصص، وكلها تمر في tools/ci/db_ci.sh (:59-92) على حاوية التطوير وعلى GitHub منذ 2026-10-12 (O-02 في tools/dbgen/erd_open_items.py:22). أرقام T في الجداول تشير إلى db/tests/tenant_isolation_tests.sql.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المالك دور لا شخص. «معماري القاعدة» اختصار لمعماري قاعدة البيانات.</w:t>
      </w:r>
    </w:p>
    <w:p>
      <w:pPr>
        <w:bidi/>
        <w:spacing w:after="60" w:before="0"/>
      </w:pPr>
    </w:p>
    <w:p>
      <w:pPr>
        <w:pStyle w:val="Heading1"/>
        <w:bidi/>
      </w:pPr>
      <w:bookmarkStart w:name="_sec3" w:id="3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3. الأصول</w:t>
      </w:r>
      <w:bookmarkEnd w:id="3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2"/>
        <w:gridCol w:w="1861"/>
        <w:gridCol w:w="5399"/>
        <w:gridCol w:w="1302"/>
      </w:tblGrid>
      <w:tr>
        <w:trPr>
          <w:cantSplit/>
          <w:tblHeader/>
        </w:trPr>
        <w:tc>
          <w:tcPr>
            <w:tcW w:type="dxa" w:w="13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1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الأصل</w:t>
            </w:r>
          </w:p>
        </w:tc>
        <w:tc>
          <w:tcPr>
            <w:tcW w:type="dxa" w:w="53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أين</w:t>
            </w:r>
          </w:p>
        </w:tc>
        <w:tc>
          <w:tcPr>
            <w:tcW w:type="dxa" w:w="13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التصنيف</w:t>
            </w:r>
          </w:p>
        </w:tc>
      </w:tr>
      <w:tr>
        <w:trPr>
          <w:cantSplit/>
        </w:trPr>
        <w:tc>
          <w:tcPr>
            <w:tcW w:type="dxa" w:w="13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AS-01</w:t>
            </w:r>
          </w:p>
        </w:tc>
        <w:tc>
          <w:tcPr>
            <w:tcW w:type="dxa" w:w="1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ربط الاتصال بالمشترك</w:t>
            </w:r>
          </w:p>
        </w:tc>
        <w:tc>
          <w:tcPr>
            <w:tcW w:type="dxa" w:w="53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‎sec.SessionBinding‎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وسياق الجلسة (db/static/010_rls.sql:22-31)</w:t>
            </w:r>
          </w:p>
        </w:tc>
        <w:tc>
          <w:tcPr>
            <w:tcW w:type="dxa" w:w="13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مقيّد</w:t>
            </w:r>
          </w:p>
        </w:tc>
      </w:tr>
      <w:tr>
        <w:trPr>
          <w:cantSplit/>
        </w:trPr>
        <w:tc>
          <w:tcPr>
            <w:tcW w:type="dxa" w:w="13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AS-02</w:t>
            </w:r>
          </w:p>
        </w:tc>
        <w:tc>
          <w:tcPr>
            <w:tcW w:type="dxa" w:w="1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أسرار الدخول والجلسات</w:t>
            </w:r>
          </w:p>
        </w:tc>
        <w:tc>
          <w:tcPr>
            <w:tcW w:type="dxa" w:w="53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V-02 إلى V-06 في DOC-F02</w:t>
            </w:r>
          </w:p>
        </w:tc>
        <w:tc>
          <w:tcPr>
            <w:tcW w:type="dxa" w:w="13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مقيّد</w:t>
            </w:r>
          </w:p>
        </w:tc>
      </w:tr>
      <w:tr>
        <w:trPr>
          <w:cantSplit/>
        </w:trPr>
        <w:tc>
          <w:tcPr>
            <w:tcW w:type="dxa" w:w="13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AS-03</w:t>
            </w:r>
          </w:p>
        </w:tc>
        <w:tc>
          <w:tcPr>
            <w:tcW w:type="dxa" w:w="1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مفاتيح التشفير</w:t>
            </w:r>
          </w:p>
        </w:tc>
        <w:tc>
          <w:tcPr>
            <w:tcW w:type="dxa" w:w="53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‎sec.TenantKey‎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ومخزن المفاتيح (DOC-F02 V-07)</w:t>
            </w:r>
          </w:p>
        </w:tc>
        <w:tc>
          <w:tcPr>
            <w:tcW w:type="dxa" w:w="13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مقيّد</w:t>
            </w:r>
          </w:p>
        </w:tc>
      </w:tr>
      <w:tr>
        <w:trPr>
          <w:cantSplit/>
        </w:trPr>
        <w:tc>
          <w:tcPr>
            <w:tcW w:type="dxa" w:w="13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AS-04</w:t>
            </w:r>
          </w:p>
        </w:tc>
        <w:tc>
          <w:tcPr>
            <w:tcW w:type="dxa" w:w="1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أرقام الهويات وصورها وIBAN والحسابات</w:t>
            </w:r>
          </w:p>
        </w:tc>
        <w:tc>
          <w:tcPr>
            <w:tcW w:type="dxa" w:w="53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DOC-F02 V-08 إلى V-10</w:t>
            </w:r>
          </w:p>
        </w:tc>
        <w:tc>
          <w:tcPr>
            <w:tcW w:type="dxa" w:w="13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مقيّد</w:t>
            </w:r>
          </w:p>
        </w:tc>
      </w:tr>
      <w:tr>
        <w:trPr>
          <w:cantSplit/>
        </w:trPr>
        <w:tc>
          <w:tcPr>
            <w:tcW w:type="dxa" w:w="13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AS-05</w:t>
            </w:r>
          </w:p>
        </w:tc>
        <w:tc>
          <w:tcPr>
            <w:tcW w:type="dxa" w:w="1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بيانات الخزينة والتسهيلات والطلبات</w:t>
            </w:r>
          </w:p>
        </w:tc>
        <w:tc>
          <w:tcPr>
            <w:tcW w:type="dxa" w:w="53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جداول المشترك</w:t>
            </w:r>
          </w:p>
        </w:tc>
        <w:tc>
          <w:tcPr>
            <w:tcW w:type="dxa" w:w="13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داخلي وسرّي</w:t>
            </w:r>
          </w:p>
        </w:tc>
      </w:tr>
      <w:tr>
        <w:trPr>
          <w:cantSplit/>
        </w:trPr>
        <w:tc>
          <w:tcPr>
            <w:tcW w:type="dxa" w:w="13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AS-06</w:t>
            </w:r>
          </w:p>
        </w:tc>
        <w:tc>
          <w:tcPr>
            <w:tcW w:type="dxa" w:w="1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سجل التدقيق والوصول الحساس</w:t>
            </w:r>
          </w:p>
        </w:tc>
        <w:tc>
          <w:tcPr>
            <w:tcW w:type="dxa" w:w="53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‎aud.AuditLog‎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‎aud.SensitiveAccessLog‎</w:t>
            </w:r>
          </w:p>
        </w:tc>
        <w:tc>
          <w:tcPr>
            <w:tcW w:type="dxa" w:w="13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سرّي</w:t>
            </w:r>
          </w:p>
        </w:tc>
      </w:tr>
      <w:tr>
        <w:trPr>
          <w:cantSplit/>
        </w:trPr>
        <w:tc>
          <w:tcPr>
            <w:tcW w:type="dxa" w:w="13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AS-07</w:t>
            </w:r>
          </w:p>
        </w:tc>
        <w:tc>
          <w:tcPr>
            <w:tcW w:type="dxa" w:w="1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حالة المشترك ووحداته ومنح الدعم</w:t>
            </w:r>
          </w:p>
        </w:tc>
        <w:tc>
          <w:tcPr>
            <w:tcW w:type="dxa" w:w="53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‎plat.Tenant‎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‎plat.TenantModule‎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‎plat.SupportAccessGrant‎</w:t>
            </w:r>
          </w:p>
        </w:tc>
        <w:tc>
          <w:tcPr>
            <w:tcW w:type="dxa" w:w="13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داخلي</w:t>
            </w:r>
          </w:p>
        </w:tc>
      </w:tr>
      <w:tr>
        <w:trPr>
          <w:cantSplit/>
        </w:trPr>
        <w:tc>
          <w:tcPr>
            <w:tcW w:type="dxa" w:w="13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AS-08</w:t>
            </w:r>
          </w:p>
        </w:tc>
        <w:tc>
          <w:tcPr>
            <w:tcW w:type="dxa" w:w="1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التوفر والنسخ</w:t>
            </w:r>
          </w:p>
        </w:tc>
        <w:tc>
          <w:tcPr>
            <w:tcW w:type="dxa" w:w="53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VPS والنسخ الاحتياطية</w:t>
            </w:r>
          </w:p>
        </w:tc>
        <w:tc>
          <w:tcPr>
            <w:tcW w:type="dxa" w:w="13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4" w:id="4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4. سجل التهديدات لكل حد</w:t>
      </w:r>
      <w:bookmarkEnd w:id="4"/>
    </w:p>
    <w:p>
      <w:pPr>
        <w:pStyle w:val="Heading2"/>
        <w:bidi/>
      </w:pPr>
      <w:bookmarkStart w:name="_sec5" w:id="5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4.1 TB-1 المستخدم ← تطبيق المشترك</w:t>
      </w:r>
      <w:bookmarkEnd w:id="5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65"/>
        <w:gridCol w:w="865"/>
        <w:gridCol w:w="3203"/>
        <w:gridCol w:w="3201"/>
        <w:gridCol w:w="865"/>
        <w:gridCol w:w="865"/>
      </w:tblGrid>
      <w:tr>
        <w:trPr>
          <w:cantSplit/>
          <w:tblHeader/>
        </w:trPr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التهديد</w:t>
            </w:r>
          </w:p>
        </w:tc>
        <w:tc>
          <w:tcPr>
            <w:tcW w:type="dxa" w:w="32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الضابط القائم</w:t>
            </w:r>
          </w:p>
        </w:tc>
        <w:tc>
          <w:tcPr>
            <w:tcW w:type="dxa" w:w="32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الخطر المتبقي</w:t>
            </w:r>
          </w:p>
        </w:tc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الضابط المقترح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التقييم والمالك</w:t>
            </w:r>
          </w:p>
        </w:tc>
      </w:tr>
      <w:tr>
        <w:trPr>
          <w:cantSplit/>
        </w:trPr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THR-01</w:t>
            </w:r>
          </w:p>
        </w:tc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S: تخمين كلمات المرور وحشو بيانات الاعتماد</w:t>
            </w:r>
          </w:p>
        </w:tc>
        <w:tc>
          <w:tcPr>
            <w:tcW w:type="dxa" w:w="32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قفل بعد 5 إخفاقات في 15 دقيقة، والثالث في 24 ساعة يحتاج المدير (db/static/030_session_context.sql:88-103)؛ كل محاولة تُسجَّل (db/static/030_session_context.sql:124-129)؛ T34</w:t>
            </w:r>
          </w:p>
        </w:tc>
        <w:tc>
          <w:tcPr>
            <w:tcW w:type="dxa" w:w="32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تقييد المعدل لكل IP في التطبيق فقط (BR-PLT-005)، ولا فحص للكلمات المسرّبة بعد</w:t>
            </w:r>
          </w:p>
        </w:tc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تقييد معدل عند الحافة لكل IP ولكل مشترك؛ فحص الكلمات المسرّبة (BR-PLT-004)</w:t>
            </w:r>
          </w:p>
        </w:tc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م×ع =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عالٍ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· مهندس الخلفية</w:t>
            </w:r>
          </w:p>
        </w:tc>
      </w:tr>
      <w:tr>
        <w:trPr>
          <w:cantSplit/>
        </w:trPr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THR-02</w:t>
            </w:r>
          </w:p>
        </w:tc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I: تعداد المستخدمين</w:t>
            </w:r>
          </w:p>
        </w:tc>
        <w:tc>
          <w:tcPr>
            <w:tcW w:type="dxa" w:w="32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خطأ واحد 50005 (db/static/030_session_context.sql:139-140)</w:t>
            </w:r>
          </w:p>
        </w:tc>
        <w:tc>
          <w:tcPr>
            <w:tcW w:type="dxa" w:w="32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‎usp_GetPasswordParams‎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يعيد NULL للمجهول (db/static/030_session_context.sql:31-36)، فيختلف زمن الرد إن تخطى التطبيق Argon2id</w:t>
            </w:r>
          </w:p>
        </w:tc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حساب Argon2id بملح وهمي ثابت لكل بريد مجهول (HMAC بسر خادم)</w:t>
            </w:r>
          </w:p>
        </w:tc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م×م = متوسط · مهندس الخلفية</w:t>
            </w:r>
          </w:p>
        </w:tc>
      </w:tr>
      <w:tr>
        <w:trPr>
          <w:cantSplit/>
        </w:trPr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THR-03</w:t>
            </w:r>
          </w:p>
        </w:tc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S: سرقة رمز الجلسة (XSS أو الشبكة)</w:t>
            </w:r>
          </w:p>
        </w:tc>
        <w:tc>
          <w:tcPr>
            <w:tcW w:type="dxa" w:w="32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الرمز مجزّأ في القاعدة (db/static/030_session_context.sql:116-118)؛ خمول 30 د ومطلق 12 س؛ الإبطال الفوري (db/static/030_session_context.sql:269-283)؛ T32، T37</w:t>
            </w:r>
          </w:p>
        </w:tc>
        <w:tc>
          <w:tcPr>
            <w:tcW w:type="dxa" w:w="32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ملف تعريف الارتباط وCSP وTLS غير مصممة (docs/10-detailed-analysis/10-m0-m1-platform-organization.md:585؛ O-08)</w:t>
            </w:r>
          </w:p>
        </w:tc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DOC-S03: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‎HttpOnly‎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‎Secure‎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‎SameSite‎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وCSP صارمة؛ DOC-S05: TLS وHSTS</w:t>
            </w:r>
          </w:p>
        </w:tc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م×ع =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عالٍ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· معماري الحلول</w:t>
            </w:r>
          </w:p>
        </w:tc>
      </w:tr>
      <w:tr>
        <w:trPr>
          <w:cantSplit/>
        </w:trPr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THR-04</w:t>
            </w:r>
          </w:p>
        </w:tc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S: تثبيت الجلسة</w:t>
            </w:r>
          </w:p>
        </w:tc>
        <w:tc>
          <w:tcPr>
            <w:tcW w:type="dxa" w:w="32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الرمز 32 بايت على الأقل (db/static/030_session_context.sql:53-54)</w:t>
            </w:r>
          </w:p>
        </w:tc>
        <w:tc>
          <w:tcPr>
            <w:tcW w:type="dxa" w:w="32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الإجراء يقبل أي رمز يمرره التطبيق (db/static/030_session_context.sql:43)</w:t>
            </w:r>
          </w:p>
        </w:tc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يولّد الخادم الرمز بمولّد آمن عند كل دخول، ولا يقبله من العميل أبدًا</w:t>
            </w:r>
          </w:p>
        </w:tc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ن×ع = متوسط · مهندس الخلفية</w:t>
            </w:r>
          </w:p>
        </w:tc>
      </w:tr>
      <w:tr>
        <w:trPr>
          <w:cantSplit/>
        </w:trPr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THR-05</w:t>
            </w:r>
          </w:p>
        </w:tc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S: تخمين رمز TOTP</w:t>
            </w:r>
          </w:p>
        </w:tc>
        <w:tc>
          <w:tcPr>
            <w:tcW w:type="dxa" w:w="32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تسجيل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‎FAILED_MFA‎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(db/static/030_session_context.sql:162)؛ T36</w:t>
            </w:r>
          </w:p>
        </w:tc>
        <w:tc>
          <w:tcPr>
            <w:tcW w:type="dxa" w:w="32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عدّاد ولا إنهاء للجلسة بعد إخفاقات MFA؛ منع إعادة الخطوة في التطبيق فقط (db/model/10-platform.model:131)</w:t>
            </w:r>
          </w:p>
        </w:tc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عدّاد إخفاقات لكل جلسة في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‎usp_ConfirmMfa‎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ينهيها عند الحد (DQ-S01-7)</w:t>
            </w:r>
          </w:p>
        </w:tc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م×ع =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عالٍ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· مسؤول الهوية</w:t>
            </w:r>
          </w:p>
        </w:tc>
      </w:tr>
      <w:tr>
        <w:trPr>
          <w:cantSplit/>
        </w:trPr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THR-06</w:t>
            </w:r>
          </w:p>
        </w:tc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E: الدخول بلا MFA</w:t>
            </w:r>
          </w:p>
        </w:tc>
        <w:tc>
          <w:tcPr>
            <w:tcW w:type="dxa" w:w="32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الربط يشترط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‎MfaVerifiedAt‎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لمن فعّل MFA (db/static/030_session_context.sql:198)؛ T36</w:t>
            </w:r>
          </w:p>
        </w:tc>
        <w:tc>
          <w:tcPr>
            <w:tcW w:type="dxa" w:w="32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‎MfaEnabled‎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افتراضيه 0 (db/model/10-platform.model:126)، والربط يقبل من لم يفعّله، خلافًا لـFR-PLT-011 (docs/10-detailed-analysis/10-m0-m1-platform-organization.md:113)</w:t>
            </w:r>
          </w:p>
        </w:tc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الربط يشترط MFA لكل مستخدم غير خدمي، والتسجيل الأول بإجراء خاص (DQ-S01-3)</w:t>
            </w:r>
          </w:p>
        </w:tc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م×ع =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عالٍ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· مسؤول الهوية</w:t>
            </w:r>
          </w:p>
        </w:tc>
      </w:tr>
      <w:tr>
        <w:trPr>
          <w:cantSplit/>
        </w:trPr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THR-07</w:t>
            </w:r>
          </w:p>
        </w:tc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I: الوصول إلى سجل خارج النطاق (IDOR)</w:t>
            </w:r>
          </w:p>
        </w:tc>
        <w:tc>
          <w:tcPr>
            <w:tcW w:type="dxa" w:w="32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RLS ومفاتيح مركّبة: T1-T8، T3 (لا قراءة بالمفتاح عبر المشتركين)</w:t>
            </w:r>
          </w:p>
        </w:tc>
        <w:tc>
          <w:tcPr>
            <w:tcW w:type="dxa" w:w="32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نطاق الشركة داخل المشترك في التطبيق فقط (FR-PLT-020)؛ لا اختبارات على مستوى API (tools/dbgen/erd_open_items.py:65)</w:t>
            </w:r>
          </w:p>
        </w:tc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اختبار IDOR آلي لكل نقطة API (DOC-S13) شرطًا لخروج S0</w:t>
            </w:r>
          </w:p>
        </w:tc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م×ع =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عالٍ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· مهندس ضمان الجودة</w:t>
            </w:r>
          </w:p>
        </w:tc>
      </w:tr>
      <w:tr>
        <w:trPr>
          <w:cantSplit/>
        </w:trPr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THR-08</w:t>
            </w:r>
          </w:p>
        </w:tc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T: تزوير الطلب عبر المواقع والنقر الخادع</w:t>
            </w:r>
          </w:p>
        </w:tc>
        <w:tc>
          <w:tcPr>
            <w:tcW w:type="dxa" w:w="32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شيء منفّذ (docs/10-detailed-analysis/10-m0-m1-platform-organization.md:585)</w:t>
            </w:r>
          </w:p>
        </w:tc>
        <w:tc>
          <w:tcPr>
            <w:tcW w:type="dxa" w:w="32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كامل</w:t>
            </w:r>
          </w:p>
        </w:tc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رمز CSRF أو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‎SameSite=Strict‎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‎frame-ancestors 'none'‎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(DOC-S03)</w:t>
            </w:r>
          </w:p>
        </w:tc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م×م = متوسط · معماري الحلول</w:t>
            </w:r>
          </w:p>
        </w:tc>
      </w:tr>
      <w:tr>
        <w:trPr>
          <w:cantSplit/>
        </w:trPr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THR-09</w:t>
            </w:r>
          </w:p>
        </w:tc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R: تزوير عنوان IP في التدقيق</w:t>
            </w:r>
          </w:p>
        </w:tc>
        <w:tc>
          <w:tcPr>
            <w:tcW w:type="dxa" w:w="32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‎@ClientIp‎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يُخزَّن للقراءة فقط بعد الربط (db/static/030_session_context.sql:206)</w:t>
            </w:r>
          </w:p>
        </w:tc>
        <w:tc>
          <w:tcPr>
            <w:tcW w:type="dxa" w:w="32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القيمة يمررها التطبيق كما وصلته (db/static/030_session_context.sql:168)</w:t>
            </w:r>
          </w:p>
        </w:tc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قائمة الوكلاء الموثوقين وترويسة واحدة معتمدة (DOC-S03)</w:t>
            </w:r>
          </w:p>
        </w:tc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م×م = متوسط · معماري الحلول</w:t>
            </w:r>
          </w:p>
        </w:tc>
      </w:tr>
      <w:tr>
        <w:trPr>
          <w:cantSplit/>
        </w:trPr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THR-10</w:t>
            </w:r>
          </w:p>
        </w:tc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I، E: كشف وجود المشترك ومسار ما قبل الدخول</w:t>
            </w:r>
          </w:p>
        </w:tc>
        <w:tc>
          <w:tcPr>
            <w:tcW w:type="dxa" w:w="32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صفحة محايدة لعنوان مجهول (FR-PLT-046)</w:t>
            </w:r>
          </w:p>
        </w:tc>
        <w:tc>
          <w:tcPr>
            <w:tcW w:type="dxa" w:w="32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إجراء يحوّل العنوان الفرعي إلى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‎TenantId‎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لـ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‎tp_app‎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(DOC-F01 G-01)، فقد يُستعمل امتياز أعلى</w:t>
            </w:r>
          </w:p>
        </w:tc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إجراء بصفة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‎tp_auth_exec‎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يعيد معرّف المشترك المفتوح فقط بزمن ثابت (DOC-F03)</w:t>
            </w:r>
          </w:p>
        </w:tc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م×م = متوسط · مسؤول الهوية</w:t>
            </w:r>
          </w:p>
        </w:tc>
      </w:tr>
      <w:tr>
        <w:trPr>
          <w:cantSplit/>
        </w:trPr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THR-11</w:t>
            </w:r>
          </w:p>
        </w:tc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D: استنزاف الذاكرة بـArgon2id وقفل الحسابات عمدًا</w:t>
            </w:r>
          </w:p>
        </w:tc>
        <w:tc>
          <w:tcPr>
            <w:tcW w:type="dxa" w:w="32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القفل مؤقت 15 دقيقة (db/static/030_session_context.sql:98)</w:t>
            </w:r>
          </w:p>
        </w:tc>
        <w:tc>
          <w:tcPr>
            <w:tcW w:type="dxa" w:w="32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 محاولة تستهلك 64 MB (docs/adr/0002-login-and-session-bound-context.md:14)؛ مهاجم يقفل حسابات معروفة</w:t>
            </w:r>
          </w:p>
        </w:tc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حد لعدد عمليات التجزئة المتزامنة؛ تقييد المعدل قبل التجزئة؛ تنبيه عند قفل جماعي</w:t>
            </w:r>
          </w:p>
        </w:tc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م×م = متوسط · مهندس الخلفية</w:t>
            </w:r>
          </w:p>
        </w:tc>
      </w:tr>
      <w:tr>
        <w:trPr>
          <w:cantSplit/>
        </w:trPr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THR-12</w:t>
            </w:r>
          </w:p>
        </w:tc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I: إساءة الكشف من مستخدم مخوَّل</w:t>
            </w:r>
          </w:p>
        </w:tc>
        <w:tc>
          <w:tcPr>
            <w:tcW w:type="dxa" w:w="32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صلاحيات مقفلة على TM وFO (BR-PLT-019)؛ تدقيق الكشف (BR-PTY-009)</w:t>
            </w:r>
          </w:p>
        </w:tc>
        <w:tc>
          <w:tcPr>
            <w:tcW w:type="dxa" w:w="32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غير منفّذ بعد؛ السبب اختياري (docs/10-detailed-analysis/10-m0-m1-platform-organization.md:639)</w:t>
            </w:r>
          </w:p>
        </w:tc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تنبيه أكثر من 20 كشفًا في الساعة؛ إعادة مصادقة قبل التصدير الحساس (FR-PLT-014)</w:t>
            </w:r>
          </w:p>
        </w:tc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ن×ع = متوسط · مسؤول الأمن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6" w:id="6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4.2 TB-2 المشغّل ← لوحة المشغّل</w:t>
      </w:r>
      <w:bookmarkEnd w:id="6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7"/>
        <w:gridCol w:w="907"/>
        <w:gridCol w:w="2557"/>
        <w:gridCol w:w="3679"/>
        <w:gridCol w:w="907"/>
        <w:gridCol w:w="907"/>
      </w:tblGrid>
      <w:tr>
        <w:trPr>
          <w:cantSplit/>
          <w:tblHeader/>
        </w:trPr>
        <w:tc>
          <w:tcPr>
            <w:tcW w:type="dxa" w:w="9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9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التهديد</w:t>
            </w:r>
          </w:p>
        </w:tc>
        <w:tc>
          <w:tcPr>
            <w:tcW w:type="dxa" w:w="25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الضابط القائم</w:t>
            </w:r>
          </w:p>
        </w:tc>
        <w:tc>
          <w:tcPr>
            <w:tcW w:type="dxa" w:w="36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الخطر المتبقي</w:t>
            </w:r>
          </w:p>
        </w:tc>
        <w:tc>
          <w:tcPr>
            <w:tcW w:type="dxa" w:w="9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الضابط المقترح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9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التقييم والمالك</w:t>
            </w:r>
          </w:p>
        </w:tc>
      </w:tr>
      <w:tr>
        <w:trPr>
          <w:cantSplit/>
        </w:trPr>
        <w:tc>
          <w:tcPr>
            <w:tcW w:type="dxa" w:w="9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THR-13</w:t>
            </w:r>
          </w:p>
        </w:tc>
        <w:tc>
          <w:tcPr>
            <w:tcW w:type="dxa" w:w="9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S: الاستيلاء على حساب مشغّل</w:t>
            </w:r>
          </w:p>
        </w:tc>
        <w:tc>
          <w:tcPr>
            <w:tcW w:type="dxa" w:w="25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MFA إلزامي للمشغّل النشط (db/model/10-platform.model:82)؛ صيغة Argon2id (:87)</w:t>
            </w:r>
          </w:p>
        </w:tc>
        <w:tc>
          <w:tcPr>
            <w:tcW w:type="dxa" w:w="36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إجراء دخول في القاعدة للمشغّل؛ لا جدول جلسات له</w:t>
            </w:r>
          </w:p>
        </w:tc>
        <w:tc>
          <w:tcPr>
            <w:tcW w:type="dxa" w:w="9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دخول المشغّل كما في ADR 0002 (DQ-F01-3)؛ قصر اللوحة على شبكة إدارية</w:t>
            </w:r>
          </w:p>
        </w:tc>
        <w:tc>
          <w:tcPr>
            <w:tcW w:type="dxa" w:w="9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ن×ع = متوسط · مسؤول الهوية</w:t>
            </w:r>
          </w:p>
        </w:tc>
      </w:tr>
      <w:tr>
        <w:trPr>
          <w:cantSplit/>
        </w:trPr>
        <w:tc>
          <w:tcPr>
            <w:tcW w:type="dxa" w:w="9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THR-14</w:t>
            </w:r>
          </w:p>
        </w:tc>
        <w:tc>
          <w:tcPr>
            <w:tcW w:type="dxa" w:w="9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E: تمديد منحة الدعم أو إحياؤها</w:t>
            </w:r>
          </w:p>
        </w:tc>
        <w:tc>
          <w:tcPr>
            <w:tcW w:type="dxa" w:w="25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‎EndsAt &gt; StartsAt‎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فقط (db/model/10-platform.model:108)</w:t>
            </w:r>
          </w:p>
        </w:tc>
        <w:tc>
          <w:tcPr>
            <w:tcW w:type="dxa" w:w="36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نافذة 1-72 ساعة في التطبيق (:102)؛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‎tp_app‎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يعدّل المنحة كلها (db/generated/tsql/007_table_grants.sql:22) (DR-15)</w:t>
            </w:r>
          </w:p>
        </w:tc>
        <w:tc>
          <w:tcPr>
            <w:tcW w:type="dxa" w:w="9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CHECK للنافذة وللإلغاء؛ إدراج وتحديث عمودي الإلغاء فقط</w:t>
            </w:r>
          </w:p>
        </w:tc>
        <w:tc>
          <w:tcPr>
            <w:tcW w:type="dxa" w:w="9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ن×ع = متوسط · معماري القاعدة</w:t>
            </w:r>
          </w:p>
        </w:tc>
      </w:tr>
      <w:tr>
        <w:trPr>
          <w:cantSplit/>
        </w:trPr>
        <w:tc>
          <w:tcPr>
            <w:tcW w:type="dxa" w:w="9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THR-15</w:t>
            </w:r>
          </w:p>
        </w:tc>
        <w:tc>
          <w:tcPr>
            <w:tcW w:type="dxa" w:w="9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I: جلسة دعم ترى المقيّد</w:t>
            </w:r>
          </w:p>
        </w:tc>
        <w:tc>
          <w:tcPr>
            <w:tcW w:type="dxa" w:w="25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التصميم يرفض ويسجل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‎SUPPORT_SESSION‎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(db/model/10-platform.model:343)</w:t>
            </w:r>
          </w:p>
        </w:tc>
        <w:tc>
          <w:tcPr>
            <w:tcW w:type="dxa" w:w="36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منفّذ: دخول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‎tp_support‎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للقراءة بلا الأعمدة المقيّدة، بمنحة سارية وجلسة مشغّل بـ MFA (db/static/036_operator_and_support.sql:23-32)</w:t>
            </w:r>
          </w:p>
        </w:tc>
        <w:tc>
          <w:tcPr>
            <w:tcW w:type="dxa" w:w="9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الوصف المرجعي في DOC-F01 DQ-F01-7 (DQ-F04-6، DOC-F04 §6.2)</w:t>
            </w:r>
          </w:p>
        </w:tc>
        <w:tc>
          <w:tcPr>
            <w:tcW w:type="dxa" w:w="9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ن×ع = متوسط · معماري الأمن</w:t>
            </w:r>
          </w:p>
        </w:tc>
      </w:tr>
      <w:tr>
        <w:trPr>
          <w:cantSplit/>
        </w:trPr>
        <w:tc>
          <w:tcPr>
            <w:tcW w:type="dxa" w:w="9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THR-16</w:t>
            </w:r>
          </w:p>
        </w:tc>
        <w:tc>
          <w:tcPr>
            <w:tcW w:type="dxa" w:w="9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R: المشترك لا يرى ما فعله الدعم</w:t>
            </w:r>
          </w:p>
        </w:tc>
        <w:tc>
          <w:tcPr>
            <w:tcW w:type="dxa" w:w="25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التصميم يسجل كل صفحة (BR-PLT-017)</w:t>
            </w:r>
          </w:p>
        </w:tc>
        <w:tc>
          <w:tcPr>
            <w:tcW w:type="dxa" w:w="36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غير منفّذ</w:t>
            </w:r>
          </w:p>
        </w:tc>
        <w:tc>
          <w:tcPr>
            <w:tcW w:type="dxa" w:w="9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 طلب في جلسة دعم يكتب حدثًا بشدة عالية في تدقيق المشترك نفسه</w:t>
            </w:r>
          </w:p>
        </w:tc>
        <w:tc>
          <w:tcPr>
            <w:tcW w:type="dxa" w:w="9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م×م = متوسط · مهندس الخلفية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7" w:id="7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4.3 TB-3 التطبيق ← القاعدة بدور tp_app</w:t>
      </w:r>
      <w:bookmarkEnd w:id="7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99"/>
        <w:gridCol w:w="899"/>
        <w:gridCol w:w="2895"/>
        <w:gridCol w:w="2892"/>
        <w:gridCol w:w="1380"/>
        <w:gridCol w:w="899"/>
      </w:tblGrid>
      <w:tr>
        <w:trPr>
          <w:cantSplit/>
          <w:tblHeader/>
        </w:trPr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التهديد</w:t>
            </w:r>
          </w:p>
        </w:tc>
        <w:tc>
          <w:tcPr>
            <w:tcW w:type="dxa" w:w="28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الضابط القائم</w:t>
            </w:r>
          </w:p>
        </w:tc>
        <w:tc>
          <w:tcPr>
            <w:tcW w:type="dxa" w:w="2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الخطر المتبقي</w:t>
            </w:r>
          </w:p>
        </w:tc>
        <w:tc>
          <w:tcPr>
            <w:tcW w:type="dxa" w:w="13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الضابط المقترح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التقييم والمالك</w:t>
            </w:r>
          </w:p>
        </w:tc>
      </w:tr>
      <w:tr>
        <w:trPr>
          <w:cantSplit/>
        </w:trPr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THR-17</w:t>
            </w:r>
          </w:p>
        </w:tc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E: ضبط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‎TenantId‎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مباشرة (O-16)</w:t>
            </w:r>
          </w:p>
        </w:tc>
        <w:tc>
          <w:tcPr>
            <w:tcW w:type="dxa" w:w="28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المرشح يشترط الربط ورمزه (db/static/010_rls.sql:22-31)؛ T16، T16b، T16c، T28</w:t>
            </w:r>
          </w:p>
        </w:tc>
        <w:tc>
          <w:tcPr>
            <w:tcW w:type="dxa" w:w="2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شيء للقراءة والكتابة</w:t>
            </w:r>
          </w:p>
        </w:tc>
        <w:tc>
          <w:tcPr>
            <w:tcW w:type="dxa" w:w="13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منخفض (مغلق) · معماري القاعدة</w:t>
            </w:r>
          </w:p>
        </w:tc>
      </w:tr>
      <w:tr>
        <w:trPr>
          <w:cantSplit/>
        </w:trPr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THR-18</w:t>
            </w:r>
          </w:p>
        </w:tc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S: الربط بمعرّف مستخدم متسلسل (O-17)</w:t>
            </w:r>
          </w:p>
        </w:tc>
        <w:tc>
          <w:tcPr>
            <w:tcW w:type="dxa" w:w="28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الربط برمز الجلسة (db/static/030_session_context.sql:191-199)؛ T17-T20، T32-T36</w:t>
            </w:r>
          </w:p>
        </w:tc>
        <w:tc>
          <w:tcPr>
            <w:tcW w:type="dxa" w:w="2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شيء عبر المشتركين</w:t>
            </w:r>
          </w:p>
        </w:tc>
        <w:tc>
          <w:tcPr>
            <w:tcW w:type="dxa" w:w="13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منخفض (مغلق) · معماري القاعدة</w:t>
            </w:r>
          </w:p>
        </w:tc>
      </w:tr>
      <w:tr>
        <w:trPr>
          <w:cantSplit/>
        </w:trPr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THR-19</w:t>
            </w:r>
          </w:p>
        </w:tc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S، E: انتحال داخل المشترك بتعديل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‎PasswordHash‎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أو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‎MfaEnabled‎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أو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‎MfaSecretEnc‎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(O-24)</w:t>
            </w:r>
          </w:p>
        </w:tc>
        <w:tc>
          <w:tcPr>
            <w:tcW w:type="dxa" w:w="28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DENY القراءة على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‎PasswordHash‎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(db/static/030_session_context.sql:237)؛ T35</w:t>
            </w:r>
          </w:p>
        </w:tc>
        <w:tc>
          <w:tcPr>
            <w:tcW w:type="dxa" w:w="2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‎tp_app‎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يعدّل كل أعمدة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‎sec.AppUser‎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(db/generated/tsql/007_table_grants.sql:24)</w:t>
            </w:r>
          </w:p>
        </w:tc>
        <w:tc>
          <w:tcPr>
            <w:tcW w:type="dxa" w:w="13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نُفّذ (ADR 0003؛ T45)</w:t>
            </w:r>
          </w:p>
        </w:tc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م×ع =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عالٍ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· معماري القاعدة</w:t>
            </w:r>
          </w:p>
        </w:tc>
      </w:tr>
      <w:tr>
        <w:trPr>
          <w:cantSplit/>
        </w:trPr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THR-20</w:t>
            </w:r>
          </w:p>
        </w:tc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S: إعادة تشغيل تجزئة من سجل الكلمات</w:t>
            </w:r>
          </w:p>
        </w:tc>
        <w:tc>
          <w:tcPr>
            <w:tcW w:type="dxa" w:w="28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شيء</w:t>
            </w:r>
          </w:p>
        </w:tc>
        <w:tc>
          <w:tcPr>
            <w:tcW w:type="dxa" w:w="2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‎tp_app‎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يقرأ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‎sec.UserPasswordHistory.PasswordHash‎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(db/generated/tsql/007_table_grants.sql:46)؛ إن احتوى التجزئة الحالية أمكن تمريرها إلى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‎usp_StartSession‎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(DOC-F02 §3)</w:t>
            </w:r>
          </w:p>
        </w:tc>
        <w:tc>
          <w:tcPr>
            <w:tcW w:type="dxa" w:w="13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DENY SELECT على العمود؛ فحص إعادة الاستعمال داخل إجراء (BR-PLT-004)</w:t>
            </w:r>
          </w:p>
        </w:tc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م×ع =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عالٍ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· معماري القاعدة</w:t>
            </w:r>
          </w:p>
        </w:tc>
      </w:tr>
      <w:tr>
        <w:trPr>
          <w:cantSplit/>
        </w:trPr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THR-21</w:t>
            </w:r>
          </w:p>
        </w:tc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S: نتيجة MFA يثق بها التطبيق (O-24)</w:t>
            </w:r>
          </w:p>
        </w:tc>
        <w:tc>
          <w:tcPr>
            <w:tcW w:type="dxa" w:w="28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النتيجة تُسجَّل بإجراء (db/static/030_session_context.sql:143-163)</w:t>
            </w:r>
          </w:p>
        </w:tc>
        <w:tc>
          <w:tcPr>
            <w:tcW w:type="dxa" w:w="2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‎@Passed‎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قيمة يمررها التطبيق (db/static/030_session_context.sql:146)</w:t>
            </w:r>
          </w:p>
        </w:tc>
        <w:tc>
          <w:tcPr>
            <w:tcW w:type="dxa" w:w="13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قبول متبقٍّ مع مراقبة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‎FAILED_MFA‎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؛ يُعاد النظر عند فصل خدمة التحقق</w:t>
            </w:r>
          </w:p>
        </w:tc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ن×ع = متوسط · مسؤول الهوية</w:t>
            </w:r>
          </w:p>
        </w:tc>
      </w:tr>
      <w:tr>
        <w:trPr>
          <w:cantSplit/>
        </w:trPr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THR-22</w:t>
            </w:r>
          </w:p>
        </w:tc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T: تمديد الجلسة (O-24)</w:t>
            </w:r>
          </w:p>
        </w:tc>
        <w:tc>
          <w:tcPr>
            <w:tcW w:type="dxa" w:w="28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DENY على خمسة أعمدة منها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‎AbsoluteExpiresAt‎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(db/static/030_session_context.sql:239)؛ T35</w:t>
            </w:r>
          </w:p>
        </w:tc>
        <w:tc>
          <w:tcPr>
            <w:tcW w:type="dxa" w:w="2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‎IdleExpiresAt‎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قابل للتعديل من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‎tp_app‎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ومسح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‎EndedAt‎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يعيد فتح جلسة منهاة (tools/dbgen/erd_open_items.py:153)</w:t>
            </w:r>
          </w:p>
        </w:tc>
        <w:tc>
          <w:tcPr>
            <w:tcW w:type="dxa" w:w="13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نُفّذ: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‎sec.usp_TouchSession‎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وDENY UPDATE على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‎sec.UserSession‎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كله (ADR 0003؛ T35، A12)</w:t>
            </w:r>
          </w:p>
        </w:tc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م×م = متوسط · معماري القاعدة</w:t>
            </w:r>
          </w:p>
        </w:tc>
      </w:tr>
      <w:tr>
        <w:trPr>
          <w:cantSplit/>
        </w:trPr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THR-23</w:t>
            </w:r>
          </w:p>
        </w:tc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I: دخول مشترك معلّق (O-18)</w:t>
            </w:r>
          </w:p>
        </w:tc>
        <w:tc>
          <w:tcPr>
            <w:tcW w:type="dxa" w:w="28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الكتابة مرفوضة (db/static/010_rls.sql:35-41)؛ الإبطال عند التعليق (db/static/030_session_context.sql:285-296)؛ T27، T31</w:t>
            </w:r>
          </w:p>
        </w:tc>
        <w:tc>
          <w:tcPr>
            <w:tcW w:type="dxa" w:w="2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ربط جديد لأي مستخدم نشط يقرأ (db/static/030_session_context.sql:186-188)، خلافًا لـBR-PLT-002</w:t>
            </w:r>
          </w:p>
        </w:tc>
        <w:tc>
          <w:tcPr>
            <w:tcW w:type="dxa" w:w="13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حُسم O-18 ونُفّذ (ADR 0003؛ T40 إلى T42)</w:t>
            </w:r>
          </w:p>
        </w:tc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م×م = متوسط · معماري القاعدة</w:t>
            </w:r>
          </w:p>
        </w:tc>
      </w:tr>
      <w:tr>
        <w:trPr>
          <w:cantSplit/>
        </w:trPr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THR-24</w:t>
            </w:r>
          </w:p>
        </w:tc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S، R: إدراج تدقيق بمشترك فارغ (O-19)</w:t>
            </w:r>
          </w:p>
        </w:tc>
        <w:tc>
          <w:tcPr>
            <w:tcW w:type="dxa" w:w="28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الكتابة لمشترك آخر مرفوضة (T14)</w:t>
            </w:r>
          </w:p>
        </w:tc>
        <w:tc>
          <w:tcPr>
            <w:tcW w:type="dxa" w:w="2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‎rls.fn_AuditWrite‎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يقبل NULL (db/static/010_rls.sql:91)</w:t>
            </w:r>
          </w:p>
        </w:tc>
        <w:tc>
          <w:tcPr>
            <w:tcW w:type="dxa" w:w="13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رفض NULL لغير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‎tp_platform‎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(DQ-S01-5) واختبار</w:t>
            </w:r>
          </w:p>
        </w:tc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م×م = متوسط · معماري القاعدة</w:t>
            </w:r>
          </w:p>
        </w:tc>
      </w:tr>
      <w:tr>
        <w:trPr>
          <w:cantSplit/>
        </w:trPr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THR-25</w:t>
            </w:r>
          </w:p>
        </w:tc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I: كاشف المفاتيح الأجنبية للجداول المختلطة (O-20)</w:t>
            </w:r>
          </w:p>
        </w:tc>
        <w:tc>
          <w:tcPr>
            <w:tcW w:type="dxa" w:w="28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شيء</w:t>
            </w:r>
          </w:p>
        </w:tc>
        <w:tc>
          <w:tcPr>
            <w:tcW w:type="dxa" w:w="2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مرجع لصف مشترك آخر في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‎ref.UcpArticle‎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يُقبل</w:t>
            </w:r>
          </w:p>
        </w:tc>
        <w:tc>
          <w:tcPr>
            <w:tcW w:type="dxa" w:w="13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فحص أن الصف المرجعي عام أو للمشترك نفسه</w:t>
            </w:r>
          </w:p>
        </w:tc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ن×م = منخفض · معماري القاعدة</w:t>
            </w:r>
          </w:p>
        </w:tc>
      </w:tr>
      <w:tr>
        <w:trPr>
          <w:cantSplit/>
        </w:trPr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THR-26</w:t>
            </w:r>
          </w:p>
        </w:tc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I: كاشف قيود الفرادة (O-21)</w:t>
            </w:r>
          </w:p>
        </w:tc>
        <w:tc>
          <w:tcPr>
            <w:tcW w:type="dxa" w:w="28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الإدراج لمشترك آخر يُرفض (T4)</w:t>
            </w:r>
          </w:p>
        </w:tc>
        <w:tc>
          <w:tcPr>
            <w:tcW w:type="dxa" w:w="2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2627 بدل 33504 يكشف وجود بريد أو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‎PublicId‎</w:t>
            </w:r>
          </w:p>
        </w:tc>
        <w:tc>
          <w:tcPr>
            <w:tcW w:type="dxa" w:w="13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‎TenantId‎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من السياق لا من الطلب (BR-PLT-001)؛ قبول متبقٍّ (DQ-S01-6)</w:t>
            </w:r>
          </w:p>
        </w:tc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ن×م = منخفض · معماري القاعدة</w:t>
            </w:r>
          </w:p>
        </w:tc>
      </w:tr>
      <w:tr>
        <w:trPr>
          <w:cantSplit/>
        </w:trPr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THR-27</w:t>
            </w:r>
          </w:p>
        </w:tc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I: مؤشرات مفتوحة بعد الإبطال ورموز خطأ تكشف الحالة (O-22)</w:t>
            </w:r>
          </w:p>
        </w:tc>
        <w:tc>
          <w:tcPr>
            <w:tcW w:type="dxa" w:w="28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الإبطال يحذف الربط (db/static/030_session_context.sql:245-296)</w:t>
            </w:r>
          </w:p>
        </w:tc>
        <w:tc>
          <w:tcPr>
            <w:tcW w:type="dxa" w:w="2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‎STATIC‎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‎KEYSET‎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تواصل التسليم؛ 50002 و50003 تكشفان الحالة (db/static/030_session_context.sql:188، :199)</w:t>
            </w:r>
          </w:p>
        </w:tc>
        <w:tc>
          <w:tcPr>
            <w:tcW w:type="dxa" w:w="13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منع هذين النوعين؛ إعادة ضبط الاتصال عند الإبطال؛ رسالة واحدة للمستخدم</w:t>
            </w:r>
          </w:p>
        </w:tc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ن×م = منخفض · مهندس الخلفية</w:t>
            </w:r>
          </w:p>
        </w:tc>
      </w:tr>
      <w:tr>
        <w:trPr>
          <w:cantSplit/>
        </w:trPr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THR-28</w:t>
            </w:r>
          </w:p>
        </w:tc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T: إعدادات أمن أضعف من الحد (DR-17)</w:t>
            </w:r>
          </w:p>
        </w:tc>
        <w:tc>
          <w:tcPr>
            <w:tcW w:type="dxa" w:w="28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شيء</w:t>
            </w:r>
          </w:p>
        </w:tc>
        <w:tc>
          <w:tcPr>
            <w:tcW w:type="dxa" w:w="2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‎tp_app‎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يكتب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‎cfg.TenantSetting‎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بلا تحقق (db/generated/tsql/007_table_grants.sql:68)</w:t>
            </w:r>
          </w:p>
        </w:tc>
        <w:tc>
          <w:tcPr>
            <w:tcW w:type="dxa" w:w="13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مفتاح أجنبي إلى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‎cfg.SettingDefinition‎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وقادح يتحقق من الحدود</w:t>
            </w:r>
          </w:p>
        </w:tc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م×م = متوسط · معماري القاعدة</w:t>
            </w:r>
          </w:p>
        </w:tc>
      </w:tr>
      <w:tr>
        <w:trPr>
          <w:cantSplit/>
        </w:trPr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THR-29</w:t>
            </w:r>
          </w:p>
        </w:tc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T: استبدال محتوى إصدار مستند (DR-11)</w:t>
            </w:r>
          </w:p>
        </w:tc>
        <w:tc>
          <w:tcPr>
            <w:tcW w:type="dxa" w:w="28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بصمة الخادم (db/model/10-platform.model:393)</w:t>
            </w:r>
          </w:p>
        </w:tc>
        <w:tc>
          <w:tcPr>
            <w:tcW w:type="dxa" w:w="2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‎tp_app‎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يعدّل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‎StorageKey‎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‎Sha256‎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(db/generated/tsql/007_table_grants.sql:61)</w:t>
            </w:r>
          </w:p>
        </w:tc>
        <w:tc>
          <w:tcPr>
            <w:tcW w:type="dxa" w:w="13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جدول إصدارات للإضافة فقط وجدول فحص منفصل</w:t>
            </w:r>
          </w:p>
        </w:tc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ن×ع = متوسط · معماري القاعدة</w:t>
            </w:r>
          </w:p>
        </w:tc>
      </w:tr>
      <w:tr>
        <w:trPr>
          <w:cantSplit/>
        </w:trPr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THR-30</w:t>
            </w:r>
          </w:p>
        </w:tc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R: محو أثر الدخول</w:t>
            </w:r>
          </w:p>
        </w:tc>
        <w:tc>
          <w:tcPr>
            <w:tcW w:type="dxa" w:w="28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 محاولة في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‎sec.LoginAttempt‎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(db/static/030_session_context.sql:124-129)</w:t>
            </w:r>
          </w:p>
        </w:tc>
        <w:tc>
          <w:tcPr>
            <w:tcW w:type="dxa" w:w="2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قادح ينسخ كل محاولة إلى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‎aud.AuditLog‎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(ADR 0007)، فحذف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‎tp_app‎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للمحاولات (db/generated/tsql/005_delete_grants.sql:11) لا يمحو الأثر</w:t>
            </w:r>
          </w:p>
        </w:tc>
        <w:tc>
          <w:tcPr>
            <w:tcW w:type="dxa" w:w="13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الحذف بمهمة احتفاظ فقط (DQ-F02-6)</w:t>
            </w:r>
          </w:p>
        </w:tc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م×م = متوسط · مهندس الخلفية</w:t>
            </w:r>
          </w:p>
        </w:tc>
      </w:tr>
      <w:tr>
        <w:trPr>
          <w:cantSplit/>
        </w:trPr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THR-31</w:t>
            </w:r>
          </w:p>
        </w:tc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T، D: تعديل سجل مفاتيح المشترك</w:t>
            </w:r>
          </w:p>
        </w:tc>
        <w:tc>
          <w:tcPr>
            <w:tcW w:type="dxa" w:w="28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سجل أحداث للإضافة فقط (db/generated/tsql/005_delete_grants.sql:46)</w:t>
            </w:r>
          </w:p>
        </w:tc>
        <w:tc>
          <w:tcPr>
            <w:tcW w:type="dxa" w:w="2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‎tp_app‎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يعدّل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‎Status‎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‎WrappedKey‎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(db/generated/tsql/007_table_grants.sql:50)</w:t>
            </w:r>
          </w:p>
        </w:tc>
        <w:tc>
          <w:tcPr>
            <w:tcW w:type="dxa" w:w="13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الكتابة بإجراء خدمة المفاتيح؛ DENY UPDATE على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‎WrappedKey‎</w:t>
            </w:r>
          </w:p>
        </w:tc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ن×ع = متوسط · معماري الأمن</w:t>
            </w:r>
          </w:p>
        </w:tc>
      </w:tr>
      <w:tr>
        <w:trPr>
          <w:cantSplit/>
        </w:trPr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THR-32</w:t>
            </w:r>
          </w:p>
        </w:tc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E: مهام خلفية بلا مسار ربط</w:t>
            </w:r>
          </w:p>
        </w:tc>
        <w:tc>
          <w:tcPr>
            <w:tcW w:type="dxa" w:w="28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شيء</w:t>
            </w:r>
          </w:p>
        </w:tc>
        <w:tc>
          <w:tcPr>
            <w:tcW w:type="dxa" w:w="2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مستخدم الخدمة لا يبدأ جلسة (DOC-F01 G-02)، فقد تُشغَّل المهام بامتياز أعلى</w:t>
            </w:r>
          </w:p>
        </w:tc>
        <w:tc>
          <w:tcPr>
            <w:tcW w:type="dxa" w:w="13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هوية مهام لكل مشترك بإجراء منصة مراجَع (DOC-F04)</w:t>
            </w:r>
          </w:p>
        </w:tc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م×ع =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عالٍ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· معماري القاعدة</w:t>
            </w:r>
          </w:p>
        </w:tc>
      </w:tr>
      <w:tr>
        <w:trPr>
          <w:cantSplit/>
        </w:trPr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THR-33</w:t>
            </w:r>
          </w:p>
        </w:tc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T: حذف أحداث Outbox الميتة (DR-14)</w:t>
            </w:r>
          </w:p>
        </w:tc>
        <w:tc>
          <w:tcPr>
            <w:tcW w:type="dxa" w:w="28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شيء</w:t>
            </w:r>
          </w:p>
        </w:tc>
        <w:tc>
          <w:tcPr>
            <w:tcW w:type="dxa" w:w="2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‎tp_app‎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يحذف من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‎cfg.OutboxEvent‎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(db/generated/tsql/005_delete_grants.sql:17)</w:t>
            </w:r>
          </w:p>
        </w:tc>
        <w:tc>
          <w:tcPr>
            <w:tcW w:type="dxa" w:w="13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منع حذف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‎DEAD‎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أو نقلها إلى جدول للإضافة فقط</w:t>
            </w:r>
          </w:p>
        </w:tc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ن×م = منخفض · مهندس الخلفية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8" w:id="8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4.4 TB-4 داخل القاعدة: tp_app ← tp_auth_exec</w:t>
      </w:r>
      <w:bookmarkEnd w:id="8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6"/>
        <w:gridCol w:w="906"/>
        <w:gridCol w:w="2875"/>
        <w:gridCol w:w="2603"/>
        <w:gridCol w:w="1668"/>
        <w:gridCol w:w="906"/>
      </w:tblGrid>
      <w:tr>
        <w:trPr>
          <w:cantSplit/>
          <w:tblHeader/>
        </w:trPr>
        <w:tc>
          <w:tcPr>
            <w:tcW w:type="dxa" w:w="9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9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التهديد</w:t>
            </w:r>
          </w:p>
        </w:tc>
        <w:tc>
          <w:tcPr>
            <w:tcW w:type="dxa" w:w="28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الضابط القائم</w:t>
            </w:r>
          </w:p>
        </w:tc>
        <w:tc>
          <w:tcPr>
            <w:tcW w:type="dxa" w:w="26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الخطر المتبقي</w:t>
            </w:r>
          </w:p>
        </w:tc>
        <w:tc>
          <w:tcPr>
            <w:tcW w:type="dxa" w:w="16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الضابط المقترح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9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التقييم والمالك</w:t>
            </w:r>
          </w:p>
        </w:tc>
      </w:tr>
      <w:tr>
        <w:trPr>
          <w:cantSplit/>
        </w:trPr>
        <w:tc>
          <w:tcPr>
            <w:tcW w:type="dxa" w:w="9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THR-34</w:t>
            </w:r>
          </w:p>
        </w:tc>
        <w:tc>
          <w:tcPr>
            <w:tcW w:type="dxa" w:w="9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E: ثغرة في إجراء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‎EXECUTE AS‎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ترفع إلى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‎tp_auth‎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المتجاوز للمرشحات</w:t>
            </w:r>
          </w:p>
        </w:tc>
        <w:tc>
          <w:tcPr>
            <w:tcW w:type="dxa" w:w="28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الإجراءات بلا SQL ديناميكي ومعاملات فقط (db/static/030_session_context.sql:23-227)؛ تجاوز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‎tp_auth‎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محصور (db/static/010_rls.sql:48، :56)</w:t>
            </w:r>
          </w:p>
        </w:tc>
        <w:tc>
          <w:tcPr>
            <w:tcW w:type="dxa" w:w="26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منح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‎tp_auth‎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اتسعت (db/static/020_roles_and_grants.sql:59، :67-69)</w:t>
            </w:r>
          </w:p>
        </w:tc>
        <w:tc>
          <w:tcPr>
            <w:tcW w:type="dxa" w:w="16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قاعدة مراجعة: لا SQL ديناميكي في وحدات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‎EXECUTE AS‎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؛ قائمة منح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‎tp_auth‎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موثّقة</w:t>
            </w:r>
          </w:p>
        </w:tc>
        <w:tc>
          <w:tcPr>
            <w:tcW w:type="dxa" w:w="9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ن×ع = متوسط · معماري القاعدة</w:t>
            </w:r>
          </w:p>
        </w:tc>
      </w:tr>
      <w:tr>
        <w:trPr>
          <w:cantSplit/>
        </w:trPr>
        <w:tc>
          <w:tcPr>
            <w:tcW w:type="dxa" w:w="9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THR-35</w:t>
            </w:r>
          </w:p>
        </w:tc>
        <w:tc>
          <w:tcPr>
            <w:tcW w:type="dxa" w:w="9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E: وحدة يملكها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‎dbo‎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تستدعي إجراء الربط لـ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‎tp_readonly‎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(O-22 sb-03)</w:t>
            </w:r>
          </w:p>
        </w:tc>
        <w:tc>
          <w:tcPr>
            <w:tcW w:type="dxa" w:w="28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وحدة كهذه اليوم</w:t>
            </w:r>
          </w:p>
        </w:tc>
        <w:tc>
          <w:tcPr>
            <w:tcW w:type="dxa" w:w="26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كامن</w:t>
            </w:r>
          </w:p>
        </w:tc>
        <w:tc>
          <w:tcPr>
            <w:tcW w:type="dxa" w:w="16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فحص ثابت في CI يرفض أي وحدة تستدعي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‎sec.usp_SetSessionContext‎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غير التطبيق</w:t>
            </w:r>
          </w:p>
        </w:tc>
        <w:tc>
          <w:tcPr>
            <w:tcW w:type="dxa" w:w="9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ن×ع = متوسط · معماري القاعدة</w:t>
            </w:r>
          </w:p>
        </w:tc>
      </w:tr>
      <w:tr>
        <w:trPr>
          <w:cantSplit/>
        </w:trPr>
        <w:tc>
          <w:tcPr>
            <w:tcW w:type="dxa" w:w="9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THR-36</w:t>
            </w:r>
          </w:p>
        </w:tc>
        <w:tc>
          <w:tcPr>
            <w:tcW w:type="dxa" w:w="9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D: تنازع الأقفال في الربط</w:t>
            </w:r>
          </w:p>
        </w:tc>
        <w:tc>
          <w:tcPr>
            <w:tcW w:type="dxa" w:w="28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26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 ربط يأخذ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‎UPDLOCK, HOLDLOCK‎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على صف المشترك والمستخدم (db/static/030_session_context.sql:186، :192-193)</w:t>
            </w:r>
          </w:p>
        </w:tc>
        <w:tc>
          <w:tcPr>
            <w:tcW w:type="dxa" w:w="16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قياس في اختبار الحمل (DOC-B03) قبل الإطلاق</w:t>
            </w:r>
          </w:p>
        </w:tc>
        <w:tc>
          <w:tcPr>
            <w:tcW w:type="dxa" w:w="9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م×م = متوسط · مدير القاعدة</w:t>
            </w:r>
          </w:p>
        </w:tc>
      </w:tr>
      <w:tr>
        <w:trPr>
          <w:cantSplit/>
        </w:trPr>
        <w:tc>
          <w:tcPr>
            <w:tcW w:type="dxa" w:w="9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THR-37</w:t>
            </w:r>
          </w:p>
        </w:tc>
        <w:tc>
          <w:tcPr>
            <w:tcW w:type="dxa" w:w="9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T: حارس المنح لا يعمل</w:t>
            </w:r>
          </w:p>
        </w:tc>
        <w:tc>
          <w:tcPr>
            <w:tcW w:type="dxa" w:w="28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CI يقارن المنشور بالمولَّد (tools/ci/db_ci.sh:56-57)؛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‎tools/dbgen/check_grants.py‎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يمر بالقواعد R1-R10 في الخطوة 3 (tools/ci/db_ci.sh:47-49)، وR6 يقبل الجداول الخمسة (tools/dbgen/check_grants.py:80-87)</w:t>
            </w:r>
          </w:p>
        </w:tc>
        <w:tc>
          <w:tcPr>
            <w:tcW w:type="dxa" w:w="26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صُحّح (2026-10-12): CI يعمل على GitHub (O-02)؛ يبقى أنه لا يمنع الدمج إلا إن اشترطته حماية الفرع (DOC-B11 §4.1)</w:t>
            </w:r>
          </w:p>
        </w:tc>
        <w:tc>
          <w:tcPr>
            <w:tcW w:type="dxa" w:w="16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نُفّذ تحديث R6 وإضافة الفحص إلى CI (e5ea45e)، وCI يعمل على GitHub منذ 2026-10-12 (O-02)</w:t>
            </w:r>
          </w:p>
        </w:tc>
        <w:tc>
          <w:tcPr>
            <w:tcW w:type="dxa" w:w="9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م×م = متوسط · مهندس DevOps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9" w:id="9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4.5 TB-5 لوحة المشغّل ← القاعدة بدور tp_platform</w:t>
      </w:r>
      <w:bookmarkEnd w:id="9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93"/>
        <w:gridCol w:w="893"/>
        <w:gridCol w:w="3286"/>
        <w:gridCol w:w="3006"/>
        <w:gridCol w:w="893"/>
        <w:gridCol w:w="893"/>
      </w:tblGrid>
      <w:tr>
        <w:trPr>
          <w:cantSplit/>
          <w:tblHeader/>
        </w:trPr>
        <w:tc>
          <w:tcPr>
            <w:tcW w:type="dxa" w:w="8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8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التهديد</w:t>
            </w:r>
          </w:p>
        </w:tc>
        <w:tc>
          <w:tcPr>
            <w:tcW w:type="dxa" w:w="32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الضابط القائم</w:t>
            </w:r>
          </w:p>
        </w:tc>
        <w:tc>
          <w:tcPr>
            <w:tcW w:type="dxa" w:w="3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الخطر المتبقي</w:t>
            </w:r>
          </w:p>
        </w:tc>
        <w:tc>
          <w:tcPr>
            <w:tcW w:type="dxa" w:w="8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الضابط المقترح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8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التقييم والمالك</w:t>
            </w:r>
          </w:p>
        </w:tc>
      </w:tr>
      <w:tr>
        <w:trPr>
          <w:cantSplit/>
        </w:trPr>
        <w:tc>
          <w:tcPr>
            <w:tcW w:type="dxa" w:w="8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THR-38</w:t>
            </w:r>
          </w:p>
        </w:tc>
        <w:tc>
          <w:tcPr>
            <w:tcW w:type="dxa" w:w="8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I: قراءة تدقيق كل المشتركين</w:t>
            </w:r>
          </w:p>
        </w:tc>
        <w:tc>
          <w:tcPr>
            <w:tcW w:type="dxa" w:w="32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منح على جداول المشترك (db/generated/tsql/007_table_grants.sql؛ R3 في tools/dbgen/check_grants.py:72-73)؛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‎rls.fn_AuditRead‎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يقصر المنصة على صفوف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‎TenantId IS NULL‎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(db/static/010_rls.sql:83)؛ T38</w:t>
            </w:r>
          </w:p>
        </w:tc>
        <w:tc>
          <w:tcPr>
            <w:tcW w:type="dxa" w:w="3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شيء للقراءة. </w:t>
            </w: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صُحّح (1f0f0af)</w:t>
            </w:r>
          </w:p>
        </w:tc>
        <w:tc>
          <w:tcPr>
            <w:tcW w:type="dxa" w:w="8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عدّادات عبر إجراء</w:t>
            </w:r>
          </w:p>
        </w:tc>
        <w:tc>
          <w:tcPr>
            <w:tcW w:type="dxa" w:w="8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منخفض (مغلق) · معماري القاعدة</w:t>
            </w:r>
          </w:p>
        </w:tc>
      </w:tr>
      <w:tr>
        <w:trPr>
          <w:cantSplit/>
        </w:trPr>
        <w:tc>
          <w:tcPr>
            <w:tcW w:type="dxa" w:w="8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THR-39</w:t>
            </w:r>
          </w:p>
        </w:tc>
        <w:tc>
          <w:tcPr>
            <w:tcW w:type="dxa" w:w="8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S، R: كتابة تدقيق باسم أي مشترك</w:t>
            </w:r>
          </w:p>
        </w:tc>
        <w:tc>
          <w:tcPr>
            <w:tcW w:type="dxa" w:w="32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3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‎rls.fn_AuditWrite‎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يتجاوز للمنصة (db/static/010_rls.sql:87-93)</w:t>
            </w:r>
          </w:p>
        </w:tc>
        <w:tc>
          <w:tcPr>
            <w:tcW w:type="dxa" w:w="8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المنصة تكتب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‎TenantId IS NULL‎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فقط، وأحداث الدعم بإجراء</w:t>
            </w:r>
          </w:p>
        </w:tc>
        <w:tc>
          <w:tcPr>
            <w:tcW w:type="dxa" w:w="8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م×م = متوسط · معماري القاعدة</w:t>
            </w:r>
          </w:p>
        </w:tc>
      </w:tr>
      <w:tr>
        <w:trPr>
          <w:cantSplit/>
        </w:trPr>
        <w:tc>
          <w:tcPr>
            <w:tcW w:type="dxa" w:w="8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THR-40</w:t>
            </w:r>
          </w:p>
        </w:tc>
        <w:tc>
          <w:tcPr>
            <w:tcW w:type="dxa" w:w="8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E: استعمال دخول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‎tp_platform‎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في تطبيق المشترك أو المهام</w:t>
            </w:r>
          </w:p>
        </w:tc>
        <w:tc>
          <w:tcPr>
            <w:tcW w:type="dxa" w:w="32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فصل الأدوار في التصميم (db/static/020_roles_and_grants.sql:5-6)</w:t>
            </w:r>
          </w:p>
        </w:tc>
        <w:tc>
          <w:tcPr>
            <w:tcW w:type="dxa" w:w="3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G-01 وG-02 في DOC-F01 تدفع إليه</w:t>
            </w:r>
          </w:p>
        </w:tc>
        <w:tc>
          <w:tcPr>
            <w:tcW w:type="dxa" w:w="8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فصل الدخول والعملية (DQ-F01-2)، ومسارات بديلة (THR-10، THR-32)</w:t>
            </w:r>
          </w:p>
        </w:tc>
        <w:tc>
          <w:tcPr>
            <w:tcW w:type="dxa" w:w="8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م×ع =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عالٍ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· معماري الحلول</w:t>
            </w:r>
          </w:p>
        </w:tc>
      </w:tr>
      <w:tr>
        <w:trPr>
          <w:cantSplit/>
        </w:trPr>
        <w:tc>
          <w:tcPr>
            <w:tcW w:type="dxa" w:w="8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THR-41</w:t>
            </w:r>
          </w:p>
        </w:tc>
        <w:tc>
          <w:tcPr>
            <w:tcW w:type="dxa" w:w="8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I: قراءة تجزئات كلمات مرور المشغّلين</w:t>
            </w:r>
          </w:p>
        </w:tc>
        <w:tc>
          <w:tcPr>
            <w:tcW w:type="dxa" w:w="32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DENY للتقارير فقط (db/generated/tsql/006_sensitive_columns.sql:7)</w:t>
            </w:r>
          </w:p>
        </w:tc>
        <w:tc>
          <w:tcPr>
            <w:tcW w:type="dxa" w:w="3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‎tp_platform‎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يقرأ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‎PasswordHash‎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(db/generated/tsql/007_table_grants.sql:18)</w:t>
            </w:r>
          </w:p>
        </w:tc>
        <w:tc>
          <w:tcPr>
            <w:tcW w:type="dxa" w:w="8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DENY القراءة ودخول بإجراء (DQ-F01-3)</w:t>
            </w:r>
          </w:p>
        </w:tc>
        <w:tc>
          <w:tcPr>
            <w:tcW w:type="dxa" w:w="8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ن×ع = متوسط · مسؤول الهوية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10" w:id="10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4.6 TB-6 التقارير ← القاعدة بدور tp_readonly</w:t>
      </w:r>
      <w:bookmarkEnd w:id="10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5"/>
        <w:gridCol w:w="935"/>
        <w:gridCol w:w="5121"/>
        <w:gridCol w:w="935"/>
        <w:gridCol w:w="1003"/>
        <w:gridCol w:w="935"/>
      </w:tblGrid>
      <w:tr>
        <w:trPr>
          <w:cantSplit/>
          <w:tblHeader/>
        </w:trPr>
        <w:tc>
          <w:tcPr>
            <w:tcW w:type="dxa" w:w="9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9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التهديد</w:t>
            </w:r>
          </w:p>
        </w:tc>
        <w:tc>
          <w:tcPr>
            <w:tcW w:type="dxa" w:w="512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الضابط القائم</w:t>
            </w:r>
          </w:p>
        </w:tc>
        <w:tc>
          <w:tcPr>
            <w:tcW w:type="dxa" w:w="9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الخطر المتبقي</w:t>
            </w:r>
          </w:p>
        </w:tc>
        <w:tc>
          <w:tcPr>
            <w:tcW w:type="dxa" w:w="10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الضابط المقترح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9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التقييم والمالك</w:t>
            </w:r>
          </w:p>
        </w:tc>
      </w:tr>
      <w:tr>
        <w:trPr>
          <w:cantSplit/>
        </w:trPr>
        <w:tc>
          <w:tcPr>
            <w:tcW w:type="dxa" w:w="9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THR-42</w:t>
            </w:r>
          </w:p>
        </w:tc>
        <w:tc>
          <w:tcPr>
            <w:tcW w:type="dxa" w:w="9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I: التقارير تقرأ بيانات شخصية سرّية</w:t>
            </w:r>
          </w:p>
        </w:tc>
        <w:tc>
          <w:tcPr>
            <w:tcW w:type="dxa" w:w="512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DENY للمقيّد (db/generated/tsql/006_sensitive_columns.sql:7-35)؛ T21-T23؛ حجب سجل المشتركين والوحدات (db/static/020_roles_and_grants.sql:62-63)؛ T29</w:t>
            </w:r>
          </w:p>
        </w:tc>
        <w:tc>
          <w:tcPr>
            <w:tcW w:type="dxa" w:w="9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السرّي غير محجوب؛ لا مسار ربط اليوم فلا صفوف مشترك (DOC-F01 G-04)</w:t>
            </w:r>
          </w:p>
        </w:tc>
        <w:tc>
          <w:tcPr>
            <w:tcW w:type="dxa" w:w="10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حسم المسار (DQ-F01-5) والسرّي (DQ-F02-3) قبل أي دخول إنتاجي</w:t>
            </w:r>
          </w:p>
        </w:tc>
        <w:tc>
          <w:tcPr>
            <w:tcW w:type="dxa" w:w="9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ن×م = منخفض · معماري القاعدة</w:t>
            </w:r>
          </w:p>
        </w:tc>
      </w:tr>
      <w:tr>
        <w:trPr>
          <w:cantSplit/>
        </w:trPr>
        <w:tc>
          <w:tcPr>
            <w:tcW w:type="dxa" w:w="9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THR-43</w:t>
            </w:r>
          </w:p>
        </w:tc>
        <w:tc>
          <w:tcPr>
            <w:tcW w:type="dxa" w:w="9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E: منح التقارير تنفيذ الربط أو عضوية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‎tp_app‎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لاحقًا</w:t>
            </w:r>
          </w:p>
        </w:tc>
        <w:tc>
          <w:tcPr>
            <w:tcW w:type="dxa" w:w="512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منح تنفيذ لها (db/static/030_session_context.sql:229-232)</w:t>
            </w:r>
          </w:p>
        </w:tc>
        <w:tc>
          <w:tcPr>
            <w:tcW w:type="dxa" w:w="9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خطأ تهيئة يفتح الكتابة</w:t>
            </w:r>
          </w:p>
        </w:tc>
        <w:tc>
          <w:tcPr>
            <w:tcW w:type="dxa" w:w="10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فحص ثابت يمنع اجتماع الدورين لدخول واحد (DOC-S08)</w:t>
            </w:r>
          </w:p>
        </w:tc>
        <w:tc>
          <w:tcPr>
            <w:tcW w:type="dxa" w:w="9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ن×م = منخفض · مدير القاعدة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11" w:id="11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4.7 TB-7 النشر والترحيل</w:t>
      </w:r>
      <w:bookmarkEnd w:id="11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2"/>
        <w:gridCol w:w="932"/>
        <w:gridCol w:w="4783"/>
        <w:gridCol w:w="1041"/>
        <w:gridCol w:w="1244"/>
        <w:gridCol w:w="932"/>
      </w:tblGrid>
      <w:tr>
        <w:trPr>
          <w:cantSplit/>
          <w:tblHeader/>
        </w:trPr>
        <w:tc>
          <w:tcPr>
            <w:tcW w:type="dxa" w:w="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التهديد</w:t>
            </w:r>
          </w:p>
        </w:tc>
        <w:tc>
          <w:tcPr>
            <w:tcW w:type="dxa" w:w="47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الضابط القائم</w:t>
            </w:r>
          </w:p>
        </w:tc>
        <w:tc>
          <w:tcPr>
            <w:tcW w:type="dxa" w:w="104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الخطر المتبقي</w:t>
            </w:r>
          </w:p>
        </w:tc>
        <w:tc>
          <w:tcPr>
            <w:tcW w:type="dxa" w:w="1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الضابط المقترح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التقييم والمالك</w:t>
            </w:r>
          </w:p>
        </w:tc>
      </w:tr>
      <w:tr>
        <w:trPr>
          <w:cantSplit/>
        </w:trPr>
        <w:tc>
          <w:tcPr>
            <w:tcW w:type="dxa" w:w="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THR-44</w:t>
            </w:r>
          </w:p>
        </w:tc>
        <w:tc>
          <w:tcPr>
            <w:tcW w:type="dxa" w:w="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E، T: نشر بحساب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‎sa‎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 الثقة بأي شهادة</w:t>
            </w:r>
          </w:p>
        </w:tc>
        <w:tc>
          <w:tcPr>
            <w:tcW w:type="dxa" w:w="47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السكربت يرفض بلا كلمة مرور (tools/deploy/deploy.sh:21-23)؛ النشر بـ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‎bankfas_migrator‎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عضو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‎db_owner‎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وحده (ADR 0010)؛ ولا أداة تثق بأي شهادة من تلقاء نفسها، ويحرس CI ذلك (ADR 0013، DQ-S05-7)؛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‎deploy.sh‎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يرفض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‎sa‎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وأي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‎sysadmin‎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وكل أداة ترفض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‎-C‎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خارج CI (ADR 0014، DQ-S11-6)</w:t>
            </w:r>
          </w:p>
        </w:tc>
        <w:tc>
          <w:tcPr>
            <w:tcW w:type="dxa" w:w="104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سكربت معدّل يعني سيطرة كاملة؛ وإذنا CI يتجاوزان الحارسين إن وُضعا خطأً (ADR 0014)</w:t>
            </w:r>
          </w:p>
        </w:tc>
        <w:tc>
          <w:tcPr>
            <w:tcW w:type="dxa" w:w="1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دخول نشر بامتياز مالك القاعدة فقط؛ شهادة موثوقة (O-08)؛ النشر من مضيف محكوم وبحزمة مراجَعة (DOC-S08، DOC-S11)</w:t>
            </w:r>
          </w:p>
        </w:tc>
        <w:tc>
          <w:tcPr>
            <w:tcW w:type="dxa" w:w="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م×ع =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عالٍ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· مهندس DevOps</w:t>
            </w:r>
          </w:p>
        </w:tc>
      </w:tr>
      <w:tr>
        <w:trPr>
          <w:cantSplit/>
        </w:trPr>
        <w:tc>
          <w:tcPr>
            <w:tcW w:type="dxa" w:w="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THR-45</w:t>
            </w:r>
          </w:p>
        </w:tc>
        <w:tc>
          <w:tcPr>
            <w:tcW w:type="dxa" w:w="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I: كلمة مرور CI مكتوبة في الملف</w:t>
            </w:r>
          </w:p>
        </w:tc>
        <w:tc>
          <w:tcPr>
            <w:tcW w:type="dxa" w:w="47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حاوية مؤقتة لا يصلها غير المهمة (../.github/workflows/treasury-db-ci.yml:41-46)</w:t>
            </w:r>
          </w:p>
        </w:tc>
        <w:tc>
          <w:tcPr>
            <w:tcW w:type="dxa" w:w="104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تُنسخ إلى بيئة أخرى خطأً</w:t>
            </w:r>
          </w:p>
        </w:tc>
        <w:tc>
          <w:tcPr>
            <w:tcW w:type="dxa" w:w="1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منع إعادة استعمالها؛ فحص أسرار في CI</w:t>
            </w:r>
          </w:p>
        </w:tc>
        <w:tc>
          <w:tcPr>
            <w:tcW w:type="dxa" w:w="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ن×ن = منخفض · مهندس DevOps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12" w:id="12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4.8 TB-8 التطبيق ← مخزن الملفات</w:t>
      </w:r>
      <w:bookmarkEnd w:id="12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5"/>
        <w:gridCol w:w="995"/>
        <w:gridCol w:w="4635"/>
        <w:gridCol w:w="1122"/>
        <w:gridCol w:w="1122"/>
        <w:gridCol w:w="995"/>
      </w:tblGrid>
      <w:tr>
        <w:trPr>
          <w:cantSplit/>
          <w:tblHeader/>
        </w:trPr>
        <w:tc>
          <w:tcPr>
            <w:tcW w:type="dxa" w:w="9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9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التهديد</w:t>
            </w:r>
          </w:p>
        </w:tc>
        <w:tc>
          <w:tcPr>
            <w:tcW w:type="dxa" w:w="46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الضابط القائم</w:t>
            </w:r>
          </w:p>
        </w:tc>
        <w:tc>
          <w:tcPr>
            <w:tcW w:type="dxa" w:w="11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الخطر المتبقي</w:t>
            </w:r>
          </w:p>
        </w:tc>
        <w:tc>
          <w:tcPr>
            <w:tcW w:type="dxa" w:w="11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الضابط المقترح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9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التقييم والمالك</w:t>
            </w:r>
          </w:p>
        </w:tc>
      </w:tr>
      <w:tr>
        <w:trPr>
          <w:cantSplit/>
        </w:trPr>
        <w:tc>
          <w:tcPr>
            <w:tcW w:type="dxa" w:w="9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THR-46</w:t>
            </w:r>
          </w:p>
        </w:tc>
        <w:tc>
          <w:tcPr>
            <w:tcW w:type="dxa" w:w="9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I: تصادم مسار ملف بين مشتركين (DR-11)</w:t>
            </w:r>
          </w:p>
        </w:tc>
        <w:tc>
          <w:tcPr>
            <w:tcW w:type="dxa" w:w="46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‎StorageKey‎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فريد داخل المشترك (db/model/10-platform.model:402)</w:t>
            </w:r>
          </w:p>
        </w:tc>
        <w:tc>
          <w:tcPr>
            <w:tcW w:type="dxa" w:w="11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فرادة عامة ولا بادئة مشترك</w:t>
            </w:r>
          </w:p>
        </w:tc>
        <w:tc>
          <w:tcPr>
            <w:tcW w:type="dxa" w:w="11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فرادة عامة وCHECK لبادئة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‎TenantId‎</w:t>
            </w:r>
          </w:p>
        </w:tc>
        <w:tc>
          <w:tcPr>
            <w:tcW w:type="dxa" w:w="9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ن×ع = متوسط · معماري القاعدة</w:t>
            </w:r>
          </w:p>
        </w:tc>
      </w:tr>
      <w:tr>
        <w:trPr>
          <w:cantSplit/>
        </w:trPr>
        <w:tc>
          <w:tcPr>
            <w:tcW w:type="dxa" w:w="9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THR-47</w:t>
            </w:r>
          </w:p>
        </w:tc>
        <w:tc>
          <w:tcPr>
            <w:tcW w:type="dxa" w:w="9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T: عبث بملف على القرص</w:t>
            </w:r>
          </w:p>
        </w:tc>
        <w:tc>
          <w:tcPr>
            <w:tcW w:type="dxa" w:w="46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بصمة الخادم (db/model/10-platform.model:393)؛ فحص دوري مخطط (FR-PLT-031، S2)</w:t>
            </w:r>
          </w:p>
        </w:tc>
        <w:tc>
          <w:tcPr>
            <w:tcW w:type="dxa" w:w="11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البصمة قابلة للتعديل (THR-29)</w:t>
            </w:r>
          </w:p>
        </w:tc>
        <w:tc>
          <w:tcPr>
            <w:tcW w:type="dxa" w:w="11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إصدار للإضافة فقط؛ التشفير المصادَق يكشف العبث</w:t>
            </w:r>
          </w:p>
        </w:tc>
        <w:tc>
          <w:tcPr>
            <w:tcW w:type="dxa" w:w="9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ن×م = منخفض · مهندس الخلفية</w:t>
            </w:r>
          </w:p>
        </w:tc>
      </w:tr>
      <w:tr>
        <w:trPr>
          <w:cantSplit/>
        </w:trPr>
        <w:tc>
          <w:tcPr>
            <w:tcW w:type="dxa" w:w="9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THR-48</w:t>
            </w:r>
          </w:p>
        </w:tc>
        <w:tc>
          <w:tcPr>
            <w:tcW w:type="dxa" w:w="9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E: ملف خبيث مرفوع</w:t>
            </w:r>
          </w:p>
        </w:tc>
        <w:tc>
          <w:tcPr>
            <w:tcW w:type="dxa" w:w="46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تنزيل قبل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‎CLEAN‎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(db/model/10-platform.model:396)؛ فحص المحتوى (FR-PLT-029)</w:t>
            </w:r>
          </w:p>
        </w:tc>
        <w:tc>
          <w:tcPr>
            <w:tcW w:type="dxa" w:w="11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الفاحص غير مختار</w:t>
            </w:r>
          </w:p>
        </w:tc>
        <w:tc>
          <w:tcPr>
            <w:tcW w:type="dxa" w:w="11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فاحص معزول قبل الإتاحة؛ الحجر</w:t>
            </w:r>
          </w:p>
        </w:tc>
        <w:tc>
          <w:tcPr>
            <w:tcW w:type="dxa" w:w="9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م×م = متوسط · مهندس الخلفية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13" w:id="13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4.9 TB-9 التطبيق ← مخزن المفاتيح</w:t>
      </w:r>
      <w:bookmarkEnd w:id="13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1"/>
        <w:gridCol w:w="851"/>
        <w:gridCol w:w="851"/>
        <w:gridCol w:w="3231"/>
        <w:gridCol w:w="3229"/>
        <w:gridCol w:w="851"/>
      </w:tblGrid>
      <w:tr>
        <w:trPr>
          <w:cantSplit/>
          <w:tblHeader/>
        </w:trPr>
        <w:tc>
          <w:tcPr>
            <w:tcW w:type="dxa" w:w="8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8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التهديد</w:t>
            </w:r>
          </w:p>
        </w:tc>
        <w:tc>
          <w:tcPr>
            <w:tcW w:type="dxa" w:w="8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الضابط القائم</w:t>
            </w:r>
          </w:p>
        </w:tc>
        <w:tc>
          <w:tcPr>
            <w:tcW w:type="dxa" w:w="32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الخطر المتبقي</w:t>
            </w:r>
          </w:p>
        </w:tc>
        <w:tc>
          <w:tcPr>
            <w:tcW w:type="dxa" w:w="32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الضابط المقترح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8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التقييم والمالك</w:t>
            </w:r>
          </w:p>
        </w:tc>
      </w:tr>
      <w:tr>
        <w:trPr>
          <w:cantSplit/>
        </w:trPr>
        <w:tc>
          <w:tcPr>
            <w:tcW w:type="dxa" w:w="8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THR-49</w:t>
            </w:r>
          </w:p>
        </w:tc>
        <w:tc>
          <w:tcPr>
            <w:tcW w:type="dxa" w:w="8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I، D: كشف المفتاح الرئيسي أو فقده</w:t>
            </w:r>
          </w:p>
        </w:tc>
        <w:tc>
          <w:tcPr>
            <w:tcW w:type="dxa" w:w="8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التصميم يفصله عن القاعدة ونسخها ويشترط نسخة مؤمّنة (BR-PLT-015)</w:t>
            </w:r>
          </w:p>
        </w:tc>
        <w:tc>
          <w:tcPr>
            <w:tcW w:type="dxa" w:w="32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مخزن مختار ولا إجراء حفظ (docs/adr/0001-schema-work-on-linux.md:26؛ docs/10-detailed-analysis/10-m0-m1-platform-organization.md:624)</w:t>
            </w:r>
          </w:p>
        </w:tc>
        <w:tc>
          <w:tcPr>
            <w:tcW w:type="dxa" w:w="32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DOC-S02 قبل البيانات الحقيقية: الحفظ والتدوير والفصل بين مدير القاعدة وحامل المفتاح (docs/10-detailed-analysis/10-m0-m1-platform-organization.md:583)</w:t>
            </w:r>
          </w:p>
        </w:tc>
        <w:tc>
          <w:tcPr>
            <w:tcW w:type="dxa" w:w="8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ن×ع = متوسط · معماري الأمن</w:t>
            </w:r>
          </w:p>
        </w:tc>
      </w:tr>
      <w:tr>
        <w:trPr>
          <w:cantSplit/>
        </w:trPr>
        <w:tc>
          <w:tcPr>
            <w:tcW w:type="dxa" w:w="8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THR-50</w:t>
            </w:r>
          </w:p>
        </w:tc>
        <w:tc>
          <w:tcPr>
            <w:tcW w:type="dxa" w:w="8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I: مفاتيح مفكوكة في ذاكرة التطبيق وتفريغاتها</w:t>
            </w:r>
          </w:p>
        </w:tc>
        <w:tc>
          <w:tcPr>
            <w:tcW w:type="dxa" w:w="8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32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كامل</w:t>
            </w:r>
          </w:p>
        </w:tc>
        <w:tc>
          <w:tcPr>
            <w:tcW w:type="dxa" w:w="32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منع تفريغ الذاكرة في الإنتاج؛ مهلة لذاكرة المفاتيح؛ لا مفاتيح في السجلات</w:t>
            </w:r>
          </w:p>
        </w:tc>
        <w:tc>
          <w:tcPr>
            <w:tcW w:type="dxa" w:w="8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ن×ع = متوسط · مهندس الخلفية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14" w:id="14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4.10 TB-10 المنصة ← البريد الخارجي</w:t>
      </w:r>
      <w:bookmarkEnd w:id="14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2"/>
        <w:gridCol w:w="852"/>
        <w:gridCol w:w="2420"/>
        <w:gridCol w:w="4036"/>
        <w:gridCol w:w="852"/>
        <w:gridCol w:w="852"/>
      </w:tblGrid>
      <w:tr>
        <w:trPr>
          <w:cantSplit/>
          <w:tblHeader/>
        </w:trPr>
        <w:tc>
          <w:tcPr>
            <w:tcW w:type="dxa" w:w="8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8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التهديد</w:t>
            </w:r>
          </w:p>
        </w:tc>
        <w:tc>
          <w:tcPr>
            <w:tcW w:type="dxa" w:w="24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الضابط القائم</w:t>
            </w:r>
          </w:p>
        </w:tc>
        <w:tc>
          <w:tcPr>
            <w:tcW w:type="dxa" w:w="40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الخطر المتبقي</w:t>
            </w:r>
          </w:p>
        </w:tc>
        <w:tc>
          <w:tcPr>
            <w:tcW w:type="dxa" w:w="8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الضابط المقترح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8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التقييم والمالك</w:t>
            </w:r>
          </w:p>
        </w:tc>
      </w:tr>
      <w:tr>
        <w:trPr>
          <w:cantSplit/>
        </w:trPr>
        <w:tc>
          <w:tcPr>
            <w:tcW w:type="dxa" w:w="8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THR-51</w:t>
            </w:r>
          </w:p>
        </w:tc>
        <w:tc>
          <w:tcPr>
            <w:tcW w:type="dxa" w:w="8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S: اعتراض رابط الدعوة أو تصيّد بنطاق مشابه</w:t>
            </w:r>
          </w:p>
        </w:tc>
        <w:tc>
          <w:tcPr>
            <w:tcW w:type="dxa" w:w="24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رمز لمرة واحدة بمدة قصيرة ومجزّأ (FR-PLT-013؛ db/model/10-platform.model:247)</w:t>
            </w:r>
          </w:p>
        </w:tc>
        <w:tc>
          <w:tcPr>
            <w:tcW w:type="dxa" w:w="40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SPF وDKIM وDMARC مخططة في S5 (docs/10-detailed-analysis/13-m6-workflow-engine-notifications.md:693) والدعوة في S0</w:t>
            </w:r>
          </w:p>
        </w:tc>
        <w:tc>
          <w:tcPr>
            <w:tcW w:type="dxa" w:w="8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SPF وDKIM وDMARC من S0؛ الرابط بلا بيانات المشترك</w:t>
            </w:r>
          </w:p>
        </w:tc>
        <w:tc>
          <w:tcPr>
            <w:tcW w:type="dxa" w:w="8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م×م = متوسط · مهندس DevOps</w:t>
            </w:r>
          </w:p>
        </w:tc>
      </w:tr>
      <w:tr>
        <w:trPr>
          <w:cantSplit/>
        </w:trPr>
        <w:tc>
          <w:tcPr>
            <w:tcW w:type="dxa" w:w="8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THR-52</w:t>
            </w:r>
          </w:p>
        </w:tc>
        <w:tc>
          <w:tcPr>
            <w:tcW w:type="dxa" w:w="8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I: تعداد البريد عبر إعادة التعيين</w:t>
            </w:r>
          </w:p>
        </w:tc>
        <w:tc>
          <w:tcPr>
            <w:tcW w:type="dxa" w:w="24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الرد لا يكشف التسجيل (FR-PLT-013)</w:t>
            </w:r>
          </w:p>
        </w:tc>
        <w:tc>
          <w:tcPr>
            <w:tcW w:type="dxa" w:w="40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غير منفّذ</w:t>
            </w:r>
          </w:p>
        </w:tc>
        <w:tc>
          <w:tcPr>
            <w:tcW w:type="dxa" w:w="8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زمن رد ثابت وتقييد المعدل</w:t>
            </w:r>
          </w:p>
        </w:tc>
        <w:tc>
          <w:tcPr>
            <w:tcW w:type="dxa" w:w="8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ن×م = منخفض · مهندس الخلفية</w:t>
            </w:r>
          </w:p>
        </w:tc>
      </w:tr>
      <w:tr>
        <w:trPr>
          <w:cantSplit/>
        </w:trPr>
        <w:tc>
          <w:tcPr>
            <w:tcW w:type="dxa" w:w="8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THR-53</w:t>
            </w:r>
          </w:p>
        </w:tc>
        <w:tc>
          <w:tcPr>
            <w:tcW w:type="dxa" w:w="8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D: تعطل المرحّل يمنع تهيئة المشترك</w:t>
            </w:r>
          </w:p>
        </w:tc>
        <w:tc>
          <w:tcPr>
            <w:tcW w:type="dxa" w:w="24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حالة الإرسال والخطأ تُسجَّلان (db/model/10-platform.model:252-253)</w:t>
            </w:r>
          </w:p>
        </w:tc>
        <w:tc>
          <w:tcPr>
            <w:tcW w:type="dxa" w:w="40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8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إعادة المحاولة وإعادة الإرسال من المشغّل</w:t>
            </w:r>
          </w:p>
        </w:tc>
        <w:tc>
          <w:tcPr>
            <w:tcW w:type="dxa" w:w="8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م×ن = منخفض · مهندس الخلفية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15" w:id="15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4.11 TB-11 المحوّلات المستقبلية</w:t>
      </w:r>
      <w:bookmarkEnd w:id="15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83"/>
        <w:gridCol w:w="883"/>
        <w:gridCol w:w="5449"/>
        <w:gridCol w:w="883"/>
        <w:gridCol w:w="883"/>
        <w:gridCol w:w="883"/>
      </w:tblGrid>
      <w:tr>
        <w:trPr>
          <w:cantSplit/>
          <w:tblHeader/>
        </w:trPr>
        <w:tc>
          <w:tcPr>
            <w:tcW w:type="dxa" w:w="8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8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التهديد</w:t>
            </w:r>
          </w:p>
        </w:tc>
        <w:tc>
          <w:tcPr>
            <w:tcW w:type="dxa" w:w="54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الضابط القائم</w:t>
            </w:r>
          </w:p>
        </w:tc>
        <w:tc>
          <w:tcPr>
            <w:tcW w:type="dxa" w:w="8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الخطر المتبقي</w:t>
            </w:r>
          </w:p>
        </w:tc>
        <w:tc>
          <w:tcPr>
            <w:tcW w:type="dxa" w:w="8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الضابط المقترح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8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التقييم والمالك</w:t>
            </w:r>
          </w:p>
        </w:tc>
      </w:tr>
      <w:tr>
        <w:trPr>
          <w:cantSplit/>
        </w:trPr>
        <w:tc>
          <w:tcPr>
            <w:tcW w:type="dxa" w:w="8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THR-54</w:t>
            </w:r>
          </w:p>
        </w:tc>
        <w:tc>
          <w:tcPr>
            <w:tcW w:type="dxa" w:w="8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S، T: أحداث واردة مزوّرة أو معادة</w:t>
            </w:r>
          </w:p>
        </w:tc>
        <w:tc>
          <w:tcPr>
            <w:tcW w:type="dxa" w:w="54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تصميم: HMAC ورموز خدمة (docs/10-detailed-analysis/10-m0-m1-platform-organization.md:574-575)</w:t>
            </w:r>
          </w:p>
        </w:tc>
        <w:tc>
          <w:tcPr>
            <w:tcW w:type="dxa" w:w="8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شيء منفّذ</w:t>
            </w:r>
          </w:p>
        </w:tc>
        <w:tc>
          <w:tcPr>
            <w:tcW w:type="dxa" w:w="8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مصادقة متبادلة، توقيع بطابع زمني، مفتاح عدم تكرار</w:t>
            </w:r>
          </w:p>
        </w:tc>
        <w:tc>
          <w:tcPr>
            <w:tcW w:type="dxa" w:w="8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ن×ع = متوسط · مهندس التكامل</w:t>
            </w:r>
          </w:p>
        </w:tc>
      </w:tr>
      <w:tr>
        <w:trPr>
          <w:cantSplit/>
        </w:trPr>
        <w:tc>
          <w:tcPr>
            <w:tcW w:type="dxa" w:w="8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THR-55</w:t>
            </w:r>
          </w:p>
        </w:tc>
        <w:tc>
          <w:tcPr>
            <w:tcW w:type="dxa" w:w="8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I: تسرب المقيّد عبر حمولة Outbox</w:t>
            </w:r>
          </w:p>
        </w:tc>
        <w:tc>
          <w:tcPr>
            <w:tcW w:type="dxa" w:w="54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الحمولة معرّفات (FR-PLT-042) بقاعدة تطبيق</w:t>
            </w:r>
          </w:p>
        </w:tc>
        <w:tc>
          <w:tcPr>
            <w:tcW w:type="dxa" w:w="8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فرض في القاعدة</w:t>
            </w:r>
          </w:p>
        </w:tc>
        <w:tc>
          <w:tcPr>
            <w:tcW w:type="dxa" w:w="8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مخطط حمولة بقائمة سماح واختبار في CI (DOC-F02 §10)</w:t>
            </w:r>
          </w:p>
        </w:tc>
        <w:tc>
          <w:tcPr>
            <w:tcW w:type="dxa" w:w="8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ن×ع = متوسط · مهندس الخلفية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16" w:id="16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4.12 TB-12 المسؤولون ← VPS</w:t>
      </w:r>
      <w:bookmarkEnd w:id="16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9"/>
        <w:gridCol w:w="939"/>
        <w:gridCol w:w="3904"/>
        <w:gridCol w:w="1853"/>
        <w:gridCol w:w="1290"/>
        <w:gridCol w:w="939"/>
      </w:tblGrid>
      <w:tr>
        <w:trPr>
          <w:cantSplit/>
          <w:tblHeader/>
        </w:trPr>
        <w:tc>
          <w:tcPr>
            <w:tcW w:type="dxa" w:w="9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9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التهديد</w:t>
            </w:r>
          </w:p>
        </w:tc>
        <w:tc>
          <w:tcPr>
            <w:tcW w:type="dxa" w:w="39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الضابط القائم</w:t>
            </w:r>
          </w:p>
        </w:tc>
        <w:tc>
          <w:tcPr>
            <w:tcW w:type="dxa" w:w="1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الخطر المتبقي</w:t>
            </w:r>
          </w:p>
        </w:tc>
        <w:tc>
          <w:tcPr>
            <w:tcW w:type="dxa" w:w="12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الضابط المقترح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9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التقييم والمالك</w:t>
            </w:r>
          </w:p>
        </w:tc>
      </w:tr>
      <w:tr>
        <w:trPr>
          <w:cantSplit/>
        </w:trPr>
        <w:tc>
          <w:tcPr>
            <w:tcW w:type="dxa" w:w="9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THR-56</w:t>
            </w:r>
          </w:p>
        </w:tc>
        <w:tc>
          <w:tcPr>
            <w:tcW w:type="dxa" w:w="9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E: اختراق حساب مسؤول أو مفتاح SSH</w:t>
            </w:r>
          </w:p>
        </w:tc>
        <w:tc>
          <w:tcPr>
            <w:tcW w:type="dxa" w:w="39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شيء موثّق</w:t>
            </w:r>
          </w:p>
        </w:tc>
        <w:tc>
          <w:tcPr>
            <w:tcW w:type="dxa" w:w="1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سيطرة على النظام والقاعدة؛ المقيّد يبقى مشفّرًا إن بقي المفتاح خارج VPS</w:t>
            </w:r>
          </w:p>
        </w:tc>
        <w:tc>
          <w:tcPr>
            <w:tcW w:type="dxa" w:w="12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DQ-F01-6؛ تقوية Ubuntu وترقيعه (DOC-S10)</w:t>
            </w:r>
          </w:p>
        </w:tc>
        <w:tc>
          <w:tcPr>
            <w:tcW w:type="dxa" w:w="9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م×ع =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عالٍ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· مهندس DevOps</w:t>
            </w:r>
          </w:p>
        </w:tc>
      </w:tr>
      <w:tr>
        <w:trPr>
          <w:cantSplit/>
        </w:trPr>
        <w:tc>
          <w:tcPr>
            <w:tcW w:type="dxa" w:w="9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THR-57</w:t>
            </w:r>
          </w:p>
        </w:tc>
        <w:tc>
          <w:tcPr>
            <w:tcW w:type="dxa" w:w="9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R: تعديلات إدارية غير مدقّقة وسلسلة تدقيق بلا مرساة</w:t>
            </w:r>
          </w:p>
        </w:tc>
        <w:tc>
          <w:tcPr>
            <w:tcW w:type="dxa" w:w="39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DENY التعديل والحذف للأدوار التطبيقية (db/static/020_roles_and_grants.sql:65)؛ T15</w:t>
            </w:r>
          </w:p>
        </w:tc>
        <w:tc>
          <w:tcPr>
            <w:tcW w:type="dxa" w:w="1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‎sa‎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يعدّل أي صف؛ المرساة الخارجية قرار مفتوح (O-13 في 20-database-design)</w:t>
            </w:r>
          </w:p>
        </w:tc>
        <w:tc>
          <w:tcPr>
            <w:tcW w:type="dxa" w:w="12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SQL Server Audit يُشحن خارج VPS (DQ-S01-8؛ التدقيق وتنبيهاته منفّذة بـ ADR 0012، والشحن ينتظر DQ-S12-1)؛ مرساة دورية للسلسلة</w:t>
            </w:r>
          </w:p>
        </w:tc>
        <w:tc>
          <w:tcPr>
            <w:tcW w:type="dxa" w:w="9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م×م = متوسط · مسؤول العمليات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17" w:id="17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4.13 TB-13 مزوّد الاستضافة</w:t>
      </w:r>
      <w:bookmarkEnd w:id="17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7"/>
        <w:gridCol w:w="857"/>
        <w:gridCol w:w="3787"/>
        <w:gridCol w:w="2649"/>
        <w:gridCol w:w="857"/>
        <w:gridCol w:w="857"/>
      </w:tblGrid>
      <w:tr>
        <w:trPr>
          <w:cantSplit/>
          <w:tblHeader/>
        </w:trPr>
        <w:tc>
          <w:tcPr>
            <w:tcW w:type="dxa" w:w="8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8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التهديد</w:t>
            </w:r>
          </w:p>
        </w:tc>
        <w:tc>
          <w:tcPr>
            <w:tcW w:type="dxa" w:w="37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الضابط القائم</w:t>
            </w:r>
          </w:p>
        </w:tc>
        <w:tc>
          <w:tcPr>
            <w:tcW w:type="dxa" w:w="26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الخطر المتبقي</w:t>
            </w:r>
          </w:p>
        </w:tc>
        <w:tc>
          <w:tcPr>
            <w:tcW w:type="dxa" w:w="8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الضابط المقترح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8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التقييم والمالك</w:t>
            </w:r>
          </w:p>
        </w:tc>
      </w:tr>
      <w:tr>
        <w:trPr>
          <w:cantSplit/>
        </w:trPr>
        <w:tc>
          <w:tcPr>
            <w:tcW w:type="dxa" w:w="8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THR-58</w:t>
            </w:r>
          </w:p>
        </w:tc>
        <w:tc>
          <w:tcPr>
            <w:tcW w:type="dxa" w:w="8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I: وصول موظفي المزوّد أو اللقطات إلى الأقراص</w:t>
            </w:r>
          </w:p>
        </w:tc>
        <w:tc>
          <w:tcPr>
            <w:tcW w:type="dxa" w:w="37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تشفير المقيّد بالتطبيق (docs/20-database-design.md:174-186)</w:t>
            </w:r>
          </w:p>
        </w:tc>
        <w:tc>
          <w:tcPr>
            <w:tcW w:type="dxa" w:w="26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TDE غير منفّذ، فالسرّي والداخلي صريحان</w:t>
            </w:r>
          </w:p>
        </w:tc>
        <w:tc>
          <w:tcPr>
            <w:tcW w:type="dxa" w:w="8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TDE ونسخ مشفّرة بمفتاح خارج المزوّد (DOC-S02، DOC-S09)</w:t>
            </w:r>
          </w:p>
        </w:tc>
        <w:tc>
          <w:tcPr>
            <w:tcW w:type="dxa" w:w="8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ن×ع = متوسط · معماري الأمن</w:t>
            </w:r>
          </w:p>
        </w:tc>
      </w:tr>
      <w:tr>
        <w:trPr>
          <w:cantSplit/>
        </w:trPr>
        <w:tc>
          <w:tcPr>
            <w:tcW w:type="dxa" w:w="8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THR-59</w:t>
            </w:r>
          </w:p>
        </w:tc>
        <w:tc>
          <w:tcPr>
            <w:tcW w:type="dxa" w:w="8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D: انقطاع المزوّد أو فقد البيانات</w:t>
            </w:r>
          </w:p>
        </w:tc>
        <w:tc>
          <w:tcPr>
            <w:tcW w:type="dxa" w:w="37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أهداف معتمدة RPO ≤ 15 دقيقة وRTO ≤ 4 ساعات (DQ-S09-1، 2026-10-12)</w:t>
            </w:r>
          </w:p>
        </w:tc>
        <w:tc>
          <w:tcPr>
            <w:tcW w:type="dxa" w:w="26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الخطة في DOC-S09، ولم تُنفَّذ ولم تُقَس بعد</w:t>
            </w:r>
          </w:p>
        </w:tc>
        <w:tc>
          <w:tcPr>
            <w:tcW w:type="dxa" w:w="8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نسخة خارج المزوّد واختبار استعادة دوري (DOC-S09)</w:t>
            </w:r>
          </w:p>
        </w:tc>
        <w:tc>
          <w:tcPr>
            <w:tcW w:type="dxa" w:w="8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م×ع =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عالٍ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· مسؤول العمليات</w:t>
            </w:r>
          </w:p>
        </w:tc>
      </w:tr>
      <w:tr>
        <w:trPr>
          <w:cantSplit/>
        </w:trPr>
        <w:tc>
          <w:tcPr>
            <w:tcW w:type="dxa" w:w="8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THR-60</w:t>
            </w:r>
          </w:p>
        </w:tc>
        <w:tc>
          <w:tcPr>
            <w:tcW w:type="dxa" w:w="8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I: الإقامة والنقل عبر الحدود</w:t>
            </w:r>
          </w:p>
        </w:tc>
        <w:tc>
          <w:tcPr>
            <w:tcW w:type="dxa" w:w="37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الاستضافة محسومة (docs/10-detailed-analysis/10-m0-m1-platform-organization.md:615)</w:t>
            </w:r>
          </w:p>
        </w:tc>
        <w:tc>
          <w:tcPr>
            <w:tcW w:type="dxa" w:w="26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سؤال الإقامة قائم (docs/adr/0001-schema-work-on-linux.md:26)</w:t>
            </w:r>
          </w:p>
        </w:tc>
        <w:tc>
          <w:tcPr>
            <w:tcW w:type="dxa" w:w="8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DOC-S07 قبل البيانات الحقيقية</w:t>
            </w:r>
          </w:p>
        </w:tc>
        <w:tc>
          <w:tcPr>
            <w:tcW w:type="dxa" w:w="8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م×م = متوسط · مسؤول حماية البيانات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18" w:id="18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5. المخاطر المتبقية المسجلة</w:t>
      </w:r>
      <w:bookmarkEnd w:id="18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2"/>
        <w:gridCol w:w="3946"/>
        <w:gridCol w:w="959"/>
        <w:gridCol w:w="959"/>
        <w:gridCol w:w="1239"/>
        <w:gridCol w:w="959"/>
      </w:tblGrid>
      <w:tr>
        <w:trPr>
          <w:cantSplit/>
          <w:tblHeader/>
        </w:trPr>
        <w:tc>
          <w:tcPr>
            <w:tcW w:type="dxa" w:w="18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</w:t>
            </w:r>
          </w:p>
        </w:tc>
        <w:tc>
          <w:tcPr>
            <w:tcW w:type="dxa" w:w="3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الحالة في السجل</w:t>
            </w:r>
          </w:p>
        </w:tc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التهديد</w:t>
            </w:r>
          </w:p>
        </w:tc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المعالجة المقترحة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2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القبول</w:t>
            </w:r>
          </w:p>
        </w:tc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المالك</w:t>
            </w:r>
          </w:p>
        </w:tc>
      </w:tr>
      <w:tr>
        <w:trPr>
          <w:cantSplit/>
        </w:trPr>
        <w:tc>
          <w:tcPr>
            <w:tcW w:type="dxa" w:w="18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O-16 (erd_open_items)</w:t>
            </w:r>
          </w:p>
        </w:tc>
        <w:tc>
          <w:tcPr>
            <w:tcW w:type="dxa" w:w="3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مغلق (tools/dbgen/erd_open_items.py:106)</w:t>
            </w:r>
          </w:p>
        </w:tc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THR-17</w:t>
            </w:r>
          </w:p>
        </w:tc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2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حاجة</w:t>
            </w:r>
          </w:p>
        </w:tc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معماري القاعدة</w:t>
            </w:r>
          </w:p>
        </w:tc>
      </w:tr>
      <w:tr>
        <w:trPr>
          <w:cantSplit/>
        </w:trPr>
        <w:tc>
          <w:tcPr>
            <w:tcW w:type="dxa" w:w="18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O-17 (erd_open_items)</w:t>
            </w:r>
          </w:p>
        </w:tc>
        <w:tc>
          <w:tcPr>
            <w:tcW w:type="dxa" w:w="3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مغلق (tools/dbgen/erd_open_items.py:112)</w:t>
            </w:r>
          </w:p>
        </w:tc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THR-18</w:t>
            </w:r>
          </w:p>
        </w:tc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2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حاجة</w:t>
            </w:r>
          </w:p>
        </w:tc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معماري القاعدة</w:t>
            </w:r>
          </w:p>
        </w:tc>
      </w:tr>
      <w:tr>
        <w:trPr>
          <w:cantSplit/>
        </w:trPr>
        <w:tc>
          <w:tcPr>
            <w:tcW w:type="dxa" w:w="18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O-18 (erd_open_items)</w:t>
            </w:r>
          </w:p>
        </w:tc>
        <w:tc>
          <w:tcPr>
            <w:tcW w:type="dxa" w:w="3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مغلق (ADR 0003)</w:t>
            </w:r>
          </w:p>
        </w:tc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THR-23</w:t>
            </w:r>
          </w:p>
        </w:tc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الخيار (أ) منفّذ</w:t>
            </w:r>
          </w:p>
        </w:tc>
        <w:tc>
          <w:tcPr>
            <w:tcW w:type="dxa" w:w="12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معماري القاعدة</w:t>
            </w:r>
          </w:p>
        </w:tc>
      </w:tr>
      <w:tr>
        <w:trPr>
          <w:cantSplit/>
        </w:trPr>
        <w:tc>
          <w:tcPr>
            <w:tcW w:type="dxa" w:w="18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O-19 (erd_open_items)</w:t>
            </w:r>
          </w:p>
        </w:tc>
        <w:tc>
          <w:tcPr>
            <w:tcW w:type="dxa" w:w="3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قرار مفتوح (:124)</w:t>
            </w:r>
          </w:p>
        </w:tc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THR-24، THR-39</w:t>
            </w:r>
          </w:p>
        </w:tc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رفض NULL لغير المنصة واختبار</w:t>
            </w:r>
          </w:p>
        </w:tc>
        <w:tc>
          <w:tcPr>
            <w:tcW w:type="dxa" w:w="12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يُقبل</w:t>
            </w:r>
          </w:p>
        </w:tc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معماري القاعدة</w:t>
            </w:r>
          </w:p>
        </w:tc>
      </w:tr>
      <w:tr>
        <w:trPr>
          <w:cantSplit/>
        </w:trPr>
        <w:tc>
          <w:tcPr>
            <w:tcW w:type="dxa" w:w="18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O-20 (erd_open_items)</w:t>
            </w:r>
          </w:p>
        </w:tc>
        <w:tc>
          <w:tcPr>
            <w:tcW w:type="dxa" w:w="3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مفتوح (:130)</w:t>
            </w:r>
          </w:p>
        </w:tc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THR-25</w:t>
            </w:r>
          </w:p>
        </w:tc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فحص المرجع المختلط</w:t>
            </w:r>
          </w:p>
        </w:tc>
        <w:tc>
          <w:tcPr>
            <w:tcW w:type="dxa" w:w="12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يُقبل مؤقتًا حتى S2 (منخفض)</w:t>
            </w:r>
          </w:p>
        </w:tc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معماري القاعدة</w:t>
            </w:r>
          </w:p>
        </w:tc>
      </w:tr>
      <w:tr>
        <w:trPr>
          <w:cantSplit/>
        </w:trPr>
        <w:tc>
          <w:tcPr>
            <w:tcW w:type="dxa" w:w="18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O-21 (erd_open_items)</w:t>
            </w:r>
          </w:p>
        </w:tc>
        <w:tc>
          <w:tcPr>
            <w:tcW w:type="dxa" w:w="3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مفتوح (:136)</w:t>
            </w:r>
          </w:p>
        </w:tc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THR-26</w:t>
            </w:r>
          </w:p>
        </w:tc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‎TenantId‎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من السياق دائمًا</w:t>
            </w:r>
          </w:p>
        </w:tc>
        <w:tc>
          <w:tcPr>
            <w:tcW w:type="dxa" w:w="12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يُقبل (منخفض)</w:t>
            </w:r>
          </w:p>
        </w:tc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معماري القاعدة</w:t>
            </w:r>
          </w:p>
        </w:tc>
      </w:tr>
      <w:tr>
        <w:trPr>
          <w:cantSplit/>
        </w:trPr>
        <w:tc>
          <w:tcPr>
            <w:tcW w:type="dxa" w:w="18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O-22 (erd_open_items)</w:t>
            </w:r>
          </w:p>
        </w:tc>
        <w:tc>
          <w:tcPr>
            <w:tcW w:type="dxa" w:w="3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مفتوح، منخفض (:142)</w:t>
            </w:r>
          </w:p>
        </w:tc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THR-27، THR-35</w:t>
            </w:r>
          </w:p>
        </w:tc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قواعد التطبيق وفحص ثابت</w:t>
            </w:r>
          </w:p>
        </w:tc>
        <w:tc>
          <w:tcPr>
            <w:tcW w:type="dxa" w:w="12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يُقبل (منخفض) بعد الفحص</w:t>
            </w:r>
          </w:p>
        </w:tc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مهندس الخلفية</w:t>
            </w:r>
          </w:p>
        </w:tc>
      </w:tr>
      <w:tr>
        <w:trPr>
          <w:cantSplit/>
        </w:trPr>
        <w:tc>
          <w:tcPr>
            <w:tcW w:type="dxa" w:w="18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O-24 (erd_open_items)</w:t>
            </w:r>
          </w:p>
        </w:tc>
        <w:tc>
          <w:tcPr>
            <w:tcW w:type="dxa" w:w="3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مغلق لـ R1 وR3 وR4 وR5 (ADR 0003)</w:t>
            </w:r>
          </w:p>
        </w:tc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THR-19، THR-21، THR-22، ومعه THR-20</w:t>
            </w:r>
          </w:p>
        </w:tc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إجراءات وDENY منفّذة</w:t>
            </w:r>
          </w:p>
        </w:tc>
        <w:tc>
          <w:tcPr>
            <w:tcW w:type="dxa" w:w="12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THR-21 يُقبل، وR6 مغلق بـ ADR 0007 (DQ-F03-10)</w:t>
            </w:r>
          </w:p>
        </w:tc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معماري القاعدة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هذا النموذج يرفع O-24 إلى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عالٍ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 القراءة من سجل الكلمات (THR-20) تتيح الانتحال دون أثر تعديل، وتعديل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‎MfaEnabled‎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يسقط MFA.</w:t>
      </w:r>
    </w:p>
    <w:p>
      <w:pPr>
        <w:pStyle w:val="Heading1"/>
        <w:bidi/>
      </w:pPr>
      <w:bookmarkStart w:name="_sec19" w:id="19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6. قائمة المعالجة المرتبة</w:t>
      </w:r>
      <w:bookmarkEnd w:id="19"/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 كتابة شيفرة الدخول في S0: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إغلاق فئة O-24: إجراءات لتغيير الكلمة وإعادة التعيين وفحص السجل وMFA؛ DENY على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‎PasswordHash‎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‎MfaEnabled‎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‎MfaSecretEnc‎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وعلى قراءة سجل الكلمات (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‎AbsoluteExpiresAt‎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Segoe UI Emoji" w:cs="Segoe UI Emoji" w:eastAsia="Segoe UI Emoji" w:hAnsi="Segoe UI Emoji"/>
          <w:sz w:val="21"/>
          <w:szCs w:val="21"/>
          <w:rtl/>
        </w:rPr>
        <w:t xml:space="preserve">✅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مُنع في e5ea45e، T35)؛ اختبارات جديدة بعد T38 (THR-19، THR-20، THR-22).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MFA في القاعدة: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عدّاد إخفاقات لكل جلسة، واشتراط MFA للربط، وإجراء يقرأ السر قبل الربط (THR-05، THR-06؛ DQ-F02-4).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لا امتياز منصة في مسارات المشترك: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إجراء تحويل العنوان الفرعي (DOC-F03)، وهوية المهام (DOC-F04)، وفصل دخول اللوحة (THR-10، THR-32، THR-40).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نطاق كتابة </w:t>
      </w:r>
      <w:r>
        <w:rPr>
          <w:rFonts w:ascii="Courier New" w:cs="Courier New" w:eastAsia="Courier New" w:hAnsi="Courier New"/>
          <w:b/>
          <w:bCs/>
          <w:color w:val="1F2937"/>
          <w:sz w:val="18"/>
          <w:szCs w:val="18"/>
          <w:shd w:fill="F1F3F5" w:color="auto" w:val="clear"/>
          <w:rtl/>
        </w:rPr>
        <w:t xml:space="preserve">‎tp_platform‎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 في التدقيق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مع O-19، واختبار لكتابته (THR-39، THR-24). القراءة </w:t>
      </w:r>
      <w:r>
        <w:rPr>
          <w:rFonts w:ascii="Segoe UI Emoji" w:cs="Segoe UI Emoji" w:eastAsia="Segoe UI Emoji" w:hAnsi="Segoe UI Emoji"/>
          <w:sz w:val="21"/>
          <w:szCs w:val="21"/>
          <w:rtl/>
        </w:rPr>
        <w:t xml:space="preserve">✅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صُحّحت في 1f0f0af مع الاختبار T38 (THR-38).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ضوابط الحافة قبل خروج S0: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DOC-S03 وDOC-S05 وتقييد المعدل (THR-01، THR-03، THR-04، THR-08، THR-09، THR-11).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اختبار IDOR لكل نقطة API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شرطًا لخروج S0 (THR-07).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النشر والإدارة: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دخول نشر منفصل وشهادة موثوقة، سياسة SSH، تدقيق SQL Server، وتشغيل CI على GitHub </w:t>
      </w:r>
      <w:r>
        <w:rPr>
          <w:rFonts w:ascii="Segoe UI Emoji" w:cs="Segoe UI Emoji" w:eastAsia="Segoe UI Emoji" w:hAnsi="Segoe UI Emoji"/>
          <w:sz w:val="21"/>
          <w:szCs w:val="21"/>
          <w:rtl/>
        </w:rPr>
        <w:t xml:space="preserve">✅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منذ 2026-10-12 (O-02؛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‎check_grants.py‎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في CI منذ e5ea45e) (THR-44، THR-56، THR-57، THR-37).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 أي بيانات حقيقية: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المفاتيح وTDE والنسخ والإقامة (THR-49، THR-58، THR-59، THR-60).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سلامة السجلات الحساسة: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DR-15 وDR-11 وDR-17، وكتابة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‎sec.TenantKey‎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بإجراء (THR-14، THR-29، THR-28، THR-31، THR-46).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حسم O-18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في DOC-F04 (THR-23).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قبول موثّق بمالك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لـO-20 وO-21 وO-22، ومراجعته قبل S2 (THR-25، THR-26، THR-27، THR-35).</w:t>
      </w:r>
    </w:p>
    <w:p>
      <w:pPr>
        <w:bidi/>
        <w:spacing w:after="60" w:before="0"/>
      </w:pPr>
    </w:p>
    <w:p>
      <w:pPr>
        <w:pStyle w:val="Heading1"/>
        <w:bidi/>
      </w:pPr>
      <w:bookmarkStart w:name="_sec20" w:id="20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7. القرارات المطلوبة</w:t>
      </w:r>
      <w:bookmarkEnd w:id="20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43"/>
        <w:gridCol w:w="1572"/>
        <w:gridCol w:w="4434"/>
        <w:gridCol w:w="1143"/>
        <w:gridCol w:w="1572"/>
      </w:tblGrid>
      <w:tr>
        <w:trPr>
          <w:cantSplit/>
          <w:tblHeader/>
        </w:trPr>
        <w:tc>
          <w:tcPr>
            <w:tcW w:type="dxa" w:w="11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15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السؤال</w:t>
            </w:r>
          </w:p>
        </w:tc>
        <w:tc>
          <w:tcPr>
            <w:tcW w:type="dxa" w:w="44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الافتراض المقترح</w:t>
            </w:r>
          </w:p>
        </w:tc>
        <w:tc>
          <w:tcPr>
            <w:tcW w:type="dxa" w:w="11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من يقرر</w:t>
            </w:r>
          </w:p>
        </w:tc>
        <w:tc>
          <w:tcPr>
            <w:tcW w:type="dxa" w:w="15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يعطّله</w:t>
            </w:r>
          </w:p>
        </w:tc>
      </w:tr>
      <w:tr>
        <w:trPr>
          <w:cantSplit/>
        </w:trPr>
        <w:tc>
          <w:tcPr>
            <w:tcW w:type="dxa" w:w="11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DQ-S01-1</w:t>
            </w:r>
          </w:p>
        </w:tc>
        <w:tc>
          <w:tcPr>
            <w:tcW w:type="dxa" w:w="15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 يعتمد قبول الخطر المتبقي، وكيف يُراجع؟</w:t>
            </w:r>
          </w:p>
        </w:tc>
        <w:tc>
          <w:tcPr>
            <w:tcW w:type="dxa" w:w="44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مالك المنتج يعتمد بتوصية معماري الأمن؛ مراجعة قبل كل شريحة؛ العالي لا يُقبل بلا تاريخ معالجة</w:t>
            </w:r>
          </w:p>
        </w:tc>
        <w:tc>
          <w:tcPr>
            <w:tcW w:type="dxa" w:w="11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مدير المشروع مع مالك المنتج</w:t>
            </w:r>
          </w:p>
        </w:tc>
        <w:tc>
          <w:tcPr>
            <w:tcW w:type="dxa" w:w="15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DOC-B09، §5</w:t>
            </w:r>
          </w:p>
        </w:tc>
      </w:tr>
      <w:tr>
        <w:trPr>
          <w:cantSplit/>
        </w:trPr>
        <w:tc>
          <w:tcPr>
            <w:tcW w:type="dxa" w:w="11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DQ-S01-2</w:t>
            </w:r>
          </w:p>
        </w:tc>
        <w:tc>
          <w:tcPr>
            <w:tcW w:type="dxa" w:w="15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متى تُعالج فئة O-24؟</w:t>
            </w:r>
          </w:p>
        </w:tc>
        <w:tc>
          <w:tcPr>
            <w:tcW w:type="dxa" w:w="44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قبل كتابة شيفرة الدخول في S0، بالإجراءات والـDENY في §6 البند 1</w:t>
            </w:r>
          </w:p>
        </w:tc>
        <w:tc>
          <w:tcPr>
            <w:tcW w:type="dxa" w:w="11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معماري القاعدة مع مسؤول الهوية</w:t>
            </w:r>
          </w:p>
        </w:tc>
        <w:tc>
          <w:tcPr>
            <w:tcW w:type="dxa" w:w="15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DOC-F03، خروج S0</w:t>
            </w:r>
          </w:p>
        </w:tc>
      </w:tr>
      <w:tr>
        <w:trPr>
          <w:cantSplit/>
        </w:trPr>
        <w:tc>
          <w:tcPr>
            <w:tcW w:type="dxa" w:w="11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DQ-S01-3</w:t>
            </w:r>
          </w:p>
        </w:tc>
        <w:tc>
          <w:tcPr>
            <w:tcW w:type="dxa" w:w="15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هل يشترط الربط MFA لكل مستخدم غير خدمي؟</w:t>
            </w:r>
          </w:p>
        </w:tc>
        <w:tc>
          <w:tcPr>
            <w:tcW w:type="dxa" w:w="44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نعم؛ التسجيل الأول بإجراء بصفة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‎tp_auth_exec‎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قبل أول ربط</w:t>
            </w:r>
          </w:p>
        </w:tc>
        <w:tc>
          <w:tcPr>
            <w:tcW w:type="dxa" w:w="11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مسؤول الهوية مع مالك المنتج</w:t>
            </w:r>
          </w:p>
        </w:tc>
        <w:tc>
          <w:tcPr>
            <w:tcW w:type="dxa" w:w="15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FR-PLT-011، DOC-F03</w:t>
            </w:r>
          </w:p>
        </w:tc>
      </w:tr>
      <w:tr>
        <w:trPr>
          <w:cantSplit/>
        </w:trPr>
        <w:tc>
          <w:tcPr>
            <w:tcW w:type="dxa" w:w="11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DQ-S01-4</w:t>
            </w:r>
          </w:p>
        </w:tc>
        <w:tc>
          <w:tcPr>
            <w:tcW w:type="dxa" w:w="15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ماذا يرى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‎tp_platform‎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من التدقيق؟</w:t>
            </w:r>
          </w:p>
        </w:tc>
        <w:tc>
          <w:tcPr>
            <w:tcW w:type="dxa" w:w="44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صفوف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‎TenantId IS NULL‎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فقط؛ العدّادات عبر إجراء</w:t>
            </w:r>
          </w:p>
        </w:tc>
        <w:tc>
          <w:tcPr>
            <w:tcW w:type="dxa" w:w="11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معماري الأمن</w:t>
            </w:r>
          </w:p>
        </w:tc>
        <w:tc>
          <w:tcPr>
            <w:tcW w:type="dxa" w:w="15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FR-PLT-005، DOC-F05</w:t>
            </w:r>
          </w:p>
        </w:tc>
      </w:tr>
      <w:tr>
        <w:trPr>
          <w:cantSplit/>
        </w:trPr>
        <w:tc>
          <w:tcPr>
            <w:tcW w:type="dxa" w:w="11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DQ-S01-5</w:t>
            </w:r>
          </w:p>
        </w:tc>
        <w:tc>
          <w:tcPr>
            <w:tcW w:type="dxa" w:w="15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هل يُرفض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‎TenantId‎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الفارغ في التدقيق لغير المنصة؟ (O-19)</w:t>
            </w:r>
          </w:p>
        </w:tc>
        <w:tc>
          <w:tcPr>
            <w:tcW w:type="dxa" w:w="44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نعم</w:t>
            </w:r>
          </w:p>
        </w:tc>
        <w:tc>
          <w:tcPr>
            <w:tcW w:type="dxa" w:w="11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معماري القاعدة</w:t>
            </w:r>
          </w:p>
        </w:tc>
        <w:tc>
          <w:tcPr>
            <w:tcW w:type="dxa" w:w="15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BR-PLT-001، DOC-B01</w:t>
            </w:r>
          </w:p>
        </w:tc>
      </w:tr>
      <w:tr>
        <w:trPr>
          <w:cantSplit/>
        </w:trPr>
        <w:tc>
          <w:tcPr>
            <w:tcW w:type="dxa" w:w="11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DQ-S01-6</w:t>
            </w:r>
          </w:p>
        </w:tc>
        <w:tc>
          <w:tcPr>
            <w:tcW w:type="dxa" w:w="15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هل تُقبل O-20 وO-21 وO-22 متبقية؟</w:t>
            </w:r>
          </w:p>
        </w:tc>
        <w:tc>
          <w:tcPr>
            <w:tcW w:type="dxa" w:w="44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نعم بتقييم منخفض ومالك ومراجعة قبل S2، بعد تطبيق ضوابط التطبيق في §5</w:t>
            </w:r>
          </w:p>
        </w:tc>
        <w:tc>
          <w:tcPr>
            <w:tcW w:type="dxa" w:w="11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المنتج بتوصية معماري الأمن</w:t>
            </w:r>
          </w:p>
        </w:tc>
        <w:tc>
          <w:tcPr>
            <w:tcW w:type="dxa" w:w="15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§5</w:t>
            </w:r>
          </w:p>
        </w:tc>
      </w:tr>
      <w:tr>
        <w:trPr>
          <w:cantSplit/>
        </w:trPr>
        <w:tc>
          <w:tcPr>
            <w:tcW w:type="dxa" w:w="11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DQ-S01-7</w:t>
            </w:r>
          </w:p>
        </w:tc>
        <w:tc>
          <w:tcPr>
            <w:tcW w:type="dxa" w:w="15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كم إخفاق MFA تنهي الجلسة؟</w:t>
            </w:r>
          </w:p>
        </w:tc>
        <w:tc>
          <w:tcPr>
            <w:tcW w:type="dxa" w:w="44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5 لكل جلسة (القيمة النهائية في DOC-S04)</w:t>
            </w:r>
          </w:p>
        </w:tc>
        <w:tc>
          <w:tcPr>
            <w:tcW w:type="dxa" w:w="11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مسؤول الهوية</w:t>
            </w:r>
          </w:p>
        </w:tc>
        <w:tc>
          <w:tcPr>
            <w:tcW w:type="dxa" w:w="15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DOC-S04، THR-05</w:t>
            </w:r>
          </w:p>
        </w:tc>
      </w:tr>
      <w:tr>
        <w:trPr>
          <w:cantSplit/>
        </w:trPr>
        <w:tc>
          <w:tcPr>
            <w:tcW w:type="dxa" w:w="11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DQ-S01-8</w:t>
            </w:r>
          </w:p>
        </w:tc>
        <w:tc>
          <w:tcPr>
            <w:tcW w:type="dxa" w:w="15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هل يُفعَّل SQL Server Audit للإجراءات الإدارية؟</w:t>
            </w:r>
          </w:p>
        </w:tc>
        <w:tc>
          <w:tcPr>
            <w:tcW w:type="dxa" w:w="44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نعم، بملف يُشحن خارج VPS. </w:t>
            </w: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منفّذ (2026-10-13، docs/adr/0012-server-audit.md): التدقيق ومواصفتاه وتنبيهات AL-18؛ الشحن ينتظر DQ-S12-1 وDQ-S12-2</w:t>
            </w:r>
          </w:p>
        </w:tc>
        <w:tc>
          <w:tcPr>
            <w:tcW w:type="dxa" w:w="11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مسؤول العمليات مع مدير القاعدة</w:t>
            </w:r>
          </w:p>
        </w:tc>
        <w:tc>
          <w:tcPr>
            <w:tcW w:type="dxa" w:w="15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DOC-S10، DOC-S12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21" w:id="21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8. تعارضات وفجوات في المصادر</w:t>
      </w:r>
      <w:bookmarkEnd w:id="21"/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docs/30-readiness-documents.md:210 يطلب تسجيل قبول O-17 وO-21، وO-17 مغلق (tools/dbgen/erd_open_items.py:112). وdocs/30-readiness-documents.md:213 يذكر انتحال المستخدم عبر معرّف متسلسل خطرًا قائمًا، وقد أُغلق بـADR 0002.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Segoe UI Emoji" w:cs="Segoe UI Emoji" w:eastAsia="Segoe UI Emoji" w:hAnsi="Segoe UI Emoji"/>
          <w:sz w:val="21"/>
          <w:szCs w:val="21"/>
          <w:rtl/>
        </w:rPr>
        <w:t xml:space="preserve">✅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صُحّح (e5ea45e): R6 يقبل الجداول الخمسة (tools/dbgen/check_grants.py:80-87)، والفحص يمر ويعمل في الخطوة 3 من tools/ci/db_ci.sh:47-49، فصار تسجيل OK في docs/20-database-design.md:488 صحيحًا.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Segoe UI Emoji" w:cs="Segoe UI Emoji" w:eastAsia="Segoe UI Emoji" w:hAnsi="Segoe UI Emoji"/>
          <w:sz w:val="21"/>
          <w:szCs w:val="21"/>
          <w:rtl/>
        </w:rPr>
        <w:t xml:space="preserve">✅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صُحّح (e5ea45e وbef5722):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‎AbsoluteExpiresAt‎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محمي (db/static/030_session_context.sql:239؛ T35)، وO-24 (tools/dbgen/erd_open_items.py:153) يذكر الآن قراءة تجزئة سجل الكلمات (db/generated/tsql/007_table_grants.sql:46) وحذف محاولات الدخول وقراءة تجزئة رموز الاسترداد وإعادة فتح الجلسة المنهاة.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docs/10-detailed-analysis/13-m6-workflow-engine-notifications.md:693 يؤجل SPF وDKIM وDMARC إلى S5، والدعوة بالبريد في S0 (docs/10-detailed-analysis/10-m0-m1-platform-organization.md:115).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FR-PLT-011 (docs/10-detailed-analysis/10-m0-m1-platform-organization.md:113) يجعل MFA إلزامية افتراضيًا، والنموذج يجعل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‎MfaEnabled‎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افتراضيه 0 (db/model/10-platform.model:126) والربط يقبله (db/static/030_session_context.sql:198). الفرض متروك للتطبيق.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Segoe UI Emoji" w:cs="Segoe UI Emoji" w:eastAsia="Segoe UI Emoji" w:hAnsi="Segoe UI Emoji"/>
          <w:sz w:val="21"/>
          <w:szCs w:val="21"/>
          <w:rtl/>
        </w:rPr>
        <w:t xml:space="preserve">✅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القراءة صُحّحت (1f0f0af): db/static/010_rls.sql:83 يقصر المنصة على صفوف التدقيق الفارغة كما في docs/20-database-design.md:112؛ T38. يبقى: docs/20-database-design.md:117 يقول إن المنصة تكتب سجلاتها في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‎aud‎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وdb/static/010_rls.sql:92 يتيح لها إدراج صف بأي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‎TenantId‎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(THR-39).</w:t>
      </w:r>
    </w:p>
    <w:p>
      <w:pPr>
        <w:bidi/>
        <w:spacing w:after="60" w:before="0"/>
      </w:pPr>
    </w:p>
    <w:p>
      <w:pPr>
        <w:pStyle w:val="Heading1"/>
        <w:bidi/>
      </w:pPr>
      <w:bookmarkStart w:name="_sec22" w:id="22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9. التتبع</w:t>
      </w:r>
      <w:bookmarkEnd w:id="22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8"/>
        <w:gridCol w:w="2303"/>
        <w:gridCol w:w="6583"/>
      </w:tblGrid>
      <w:tr>
        <w:trPr>
          <w:cantSplit/>
          <w:tblHeader/>
        </w:trPr>
        <w:tc>
          <w:tcPr>
            <w:tcW w:type="dxa" w:w="9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 في هذه الوثيقة</w:t>
            </w:r>
          </w:p>
        </w:tc>
        <w:tc>
          <w:tcPr>
            <w:tcW w:type="dxa" w:w="23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المتطلب أو القاعدة أو القرار</w:t>
            </w:r>
          </w:p>
        </w:tc>
        <w:tc>
          <w:tcPr>
            <w:tcW w:type="dxa" w:w="65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</w:tr>
      <w:tr>
        <w:trPr>
          <w:cantSplit/>
        </w:trPr>
        <w:tc>
          <w:tcPr>
            <w:tcW w:type="dxa" w:w="9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THR-01، THR-02، THR-11</w:t>
            </w:r>
          </w:p>
        </w:tc>
        <w:tc>
          <w:tcPr>
            <w:tcW w:type="dxa" w:w="23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FR-PLT-012، BR-PLT-005</w:t>
            </w:r>
          </w:p>
        </w:tc>
        <w:tc>
          <w:tcPr>
            <w:tcW w:type="dxa" w:w="65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db/static/030_session_context.sql:39-141</w:t>
            </w:r>
          </w:p>
        </w:tc>
      </w:tr>
      <w:tr>
        <w:trPr>
          <w:cantSplit/>
        </w:trPr>
        <w:tc>
          <w:tcPr>
            <w:tcW w:type="dxa" w:w="9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THR-03، THR-04، THR-08، THR-09</w:t>
            </w:r>
          </w:p>
        </w:tc>
        <w:tc>
          <w:tcPr>
            <w:tcW w:type="dxa" w:w="23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FR-PLT-014، X-SEC-1</w:t>
            </w:r>
          </w:p>
        </w:tc>
        <w:tc>
          <w:tcPr>
            <w:tcW w:type="dxa" w:w="65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docs/10-detailed-analysis/10-m0-m1-platform-organization.md:585</w:t>
            </w:r>
          </w:p>
        </w:tc>
      </w:tr>
      <w:tr>
        <w:trPr>
          <w:cantSplit/>
        </w:trPr>
        <w:tc>
          <w:tcPr>
            <w:tcW w:type="dxa" w:w="9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THR-05، THR-06، THR-21</w:t>
            </w:r>
          </w:p>
        </w:tc>
        <w:tc>
          <w:tcPr>
            <w:tcW w:type="dxa" w:w="23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FR-PLT-011، BR-PLT-006</w:t>
            </w:r>
          </w:p>
        </w:tc>
        <w:tc>
          <w:tcPr>
            <w:tcW w:type="dxa" w:w="65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db/static/030_session_context.sql:143-163، :198</w:t>
            </w:r>
          </w:p>
        </w:tc>
      </w:tr>
      <w:tr>
        <w:trPr>
          <w:cantSplit/>
        </w:trPr>
        <w:tc>
          <w:tcPr>
            <w:tcW w:type="dxa" w:w="9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THR-07، THR-17، THR-18</w:t>
            </w:r>
          </w:p>
        </w:tc>
        <w:tc>
          <w:tcPr>
            <w:tcW w:type="dxa" w:w="23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FR-PLT-020، FR-PLT-021، FR-PLT-036، X-SEC-4، R4</w:t>
            </w:r>
          </w:p>
        </w:tc>
        <w:tc>
          <w:tcPr>
            <w:tcW w:type="dxa" w:w="65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db/static/010_rls.sql:22-57؛ T1-T20</w:t>
            </w:r>
          </w:p>
        </w:tc>
      </w:tr>
      <w:tr>
        <w:trPr>
          <w:cantSplit/>
        </w:trPr>
        <w:tc>
          <w:tcPr>
            <w:tcW w:type="dxa" w:w="9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THR-12</w:t>
            </w:r>
          </w:p>
        </w:tc>
        <w:tc>
          <w:tcPr>
            <w:tcW w:type="dxa" w:w="23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FR-PTY-007، BR-PTY-009، BR-PLT-019</w:t>
            </w:r>
          </w:p>
        </w:tc>
        <w:tc>
          <w:tcPr>
            <w:tcW w:type="dxa" w:w="65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docs/10-detailed-analysis/10-m0-m1-platform-organization.md:280</w:t>
            </w:r>
          </w:p>
        </w:tc>
      </w:tr>
      <w:tr>
        <w:trPr>
          <w:cantSplit/>
        </w:trPr>
        <w:tc>
          <w:tcPr>
            <w:tcW w:type="dxa" w:w="9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THR-13 إلى THR-16، THR-41</w:t>
            </w:r>
          </w:p>
        </w:tc>
        <w:tc>
          <w:tcPr>
            <w:tcW w:type="dxa" w:w="23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FR-PLT-006، FR-PLT-007، BR-PLT-017</w:t>
            </w:r>
          </w:p>
        </w:tc>
        <w:tc>
          <w:tcPr>
            <w:tcW w:type="dxa" w:w="65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db/model/10-platform.model:64-108</w:t>
            </w:r>
          </w:p>
        </w:tc>
      </w:tr>
      <w:tr>
        <w:trPr>
          <w:cantSplit/>
        </w:trPr>
        <w:tc>
          <w:tcPr>
            <w:tcW w:type="dxa" w:w="9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THR-19 إلى THR-22</w:t>
            </w:r>
          </w:p>
        </w:tc>
        <w:tc>
          <w:tcPr>
            <w:tcW w:type="dxa" w:w="23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O-24 (erd_open_items)، BR-PLT-004</w:t>
            </w:r>
          </w:p>
        </w:tc>
        <w:tc>
          <w:tcPr>
            <w:tcW w:type="dxa" w:w="65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tools/dbgen/erd_open_items.py:151-156</w:t>
            </w:r>
          </w:p>
        </w:tc>
      </w:tr>
      <w:tr>
        <w:trPr>
          <w:cantSplit/>
        </w:trPr>
        <w:tc>
          <w:tcPr>
            <w:tcW w:type="dxa" w:w="9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THR-23</w:t>
            </w:r>
          </w:p>
        </w:tc>
        <w:tc>
          <w:tcPr>
            <w:tcW w:type="dxa" w:w="23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O-18 (erd_open_items)، BR-PLT-002</w:t>
            </w:r>
          </w:p>
        </w:tc>
        <w:tc>
          <w:tcPr>
            <w:tcW w:type="dxa" w:w="65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tools/dbgen/erd_open_items.py:115-120</w:t>
            </w:r>
          </w:p>
        </w:tc>
      </w:tr>
      <w:tr>
        <w:trPr>
          <w:cantSplit/>
        </w:trPr>
        <w:tc>
          <w:tcPr>
            <w:tcW w:type="dxa" w:w="9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THR-24، THR-38، THR-39</w:t>
            </w:r>
          </w:p>
        </w:tc>
        <w:tc>
          <w:tcPr>
            <w:tcW w:type="dxa" w:w="23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O-19 (erd_open_items)، BR-PLT-001، BR-PLT-009، FR-PLT-005</w:t>
            </w:r>
          </w:p>
        </w:tc>
        <w:tc>
          <w:tcPr>
            <w:tcW w:type="dxa" w:w="65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db/static/010_rls.sql:79-101</w:t>
            </w:r>
          </w:p>
        </w:tc>
      </w:tr>
      <w:tr>
        <w:trPr>
          <w:cantSplit/>
        </w:trPr>
        <w:tc>
          <w:tcPr>
            <w:tcW w:type="dxa" w:w="9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THR-25 إلى THR-27، THR-35</w:t>
            </w:r>
          </w:p>
        </w:tc>
        <w:tc>
          <w:tcPr>
            <w:tcW w:type="dxa" w:w="23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O-20 إلى O-22 (erd_open_items)</w:t>
            </w:r>
          </w:p>
        </w:tc>
        <w:tc>
          <w:tcPr>
            <w:tcW w:type="dxa" w:w="65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tools/dbgen/erd_open_items.py:127-144</w:t>
            </w:r>
          </w:p>
        </w:tc>
      </w:tr>
      <w:tr>
        <w:trPr>
          <w:cantSplit/>
        </w:trPr>
        <w:tc>
          <w:tcPr>
            <w:tcW w:type="dxa" w:w="9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THR-28، THR-29، THR-14، THR-33، THR-46</w:t>
            </w:r>
          </w:p>
        </w:tc>
        <w:tc>
          <w:tcPr>
            <w:tcW w:type="dxa" w:w="23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DR-17، DR-11، DR-15، DR-14</w:t>
            </w:r>
          </w:p>
        </w:tc>
        <w:tc>
          <w:tcPr>
            <w:tcW w:type="dxa" w:w="65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docs/review/design-review-2026-10-11.json</w:t>
            </w:r>
          </w:p>
        </w:tc>
      </w:tr>
      <w:tr>
        <w:trPr>
          <w:cantSplit/>
        </w:trPr>
        <w:tc>
          <w:tcPr>
            <w:tcW w:type="dxa" w:w="9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THR-30</w:t>
            </w:r>
          </w:p>
        </w:tc>
        <w:tc>
          <w:tcPr>
            <w:tcW w:type="dxa" w:w="23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FR-PLT-022</w:t>
            </w:r>
          </w:p>
        </w:tc>
        <w:tc>
          <w:tcPr>
            <w:tcW w:type="dxa" w:w="65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db/model/10-platform.model:199-208</w:t>
            </w:r>
          </w:p>
        </w:tc>
      </w:tr>
      <w:tr>
        <w:trPr>
          <w:cantSplit/>
        </w:trPr>
        <w:tc>
          <w:tcPr>
            <w:tcW w:type="dxa" w:w="9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THR-31، THR-49، THR-50</w:t>
            </w:r>
          </w:p>
        </w:tc>
        <w:tc>
          <w:tcPr>
            <w:tcW w:type="dxa" w:w="23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FR-PLT-037، BR-PLT-015، X-SEC-6</w:t>
            </w:r>
          </w:p>
        </w:tc>
        <w:tc>
          <w:tcPr>
            <w:tcW w:type="dxa" w:w="65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db/model/10-platform.model:276-301</w:t>
            </w:r>
          </w:p>
        </w:tc>
      </w:tr>
      <w:tr>
        <w:trPr>
          <w:cantSplit/>
        </w:trPr>
        <w:tc>
          <w:tcPr>
            <w:tcW w:type="dxa" w:w="9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THR-32، THR-40، THR-10</w:t>
            </w:r>
          </w:p>
        </w:tc>
        <w:tc>
          <w:tcPr>
            <w:tcW w:type="dxa" w:w="23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O-12 (20-database-design)</w:t>
            </w:r>
          </w:p>
        </w:tc>
        <w:tc>
          <w:tcPr>
            <w:tcW w:type="dxa" w:w="65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docs/20-database-design.md:540</w:t>
            </w:r>
          </w:p>
        </w:tc>
      </w:tr>
      <w:tr>
        <w:trPr>
          <w:cantSplit/>
        </w:trPr>
        <w:tc>
          <w:tcPr>
            <w:tcW w:type="dxa" w:w="9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THR-34، THR-36، THR-37</w:t>
            </w:r>
          </w:p>
        </w:tc>
        <w:tc>
          <w:tcPr>
            <w:tcW w:type="dxa" w:w="23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O-15 (erd_open_items)، ADR 0002</w:t>
            </w:r>
          </w:p>
        </w:tc>
        <w:tc>
          <w:tcPr>
            <w:tcW w:type="dxa" w:w="65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db/static/020_roles_and_grants.sql:32-69</w:t>
            </w:r>
          </w:p>
        </w:tc>
      </w:tr>
      <w:tr>
        <w:trPr>
          <w:cantSplit/>
        </w:trPr>
        <w:tc>
          <w:tcPr>
            <w:tcW w:type="dxa" w:w="9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THR-44، THR-45</w:t>
            </w:r>
          </w:p>
        </w:tc>
        <w:tc>
          <w:tcPr>
            <w:tcW w:type="dxa" w:w="23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ADR 0001، O-08 (erd_open_items)</w:t>
            </w:r>
          </w:p>
        </w:tc>
        <w:tc>
          <w:tcPr>
            <w:tcW w:type="dxa" w:w="65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tools/deploy/deploy.sh:7-29</w:t>
            </w:r>
          </w:p>
        </w:tc>
      </w:tr>
      <w:tr>
        <w:trPr>
          <w:cantSplit/>
        </w:trPr>
        <w:tc>
          <w:tcPr>
            <w:tcW w:type="dxa" w:w="9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THR-51 إلى THR-53</w:t>
            </w:r>
          </w:p>
        </w:tc>
        <w:tc>
          <w:tcPr>
            <w:tcW w:type="dxa" w:w="23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FR-PLT-013</w:t>
            </w:r>
          </w:p>
        </w:tc>
        <w:tc>
          <w:tcPr>
            <w:tcW w:type="dxa" w:w="65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db/model/10-platform.model:244-258</w:t>
            </w:r>
          </w:p>
        </w:tc>
      </w:tr>
      <w:tr>
        <w:trPr>
          <w:cantSplit/>
        </w:trPr>
        <w:tc>
          <w:tcPr>
            <w:tcW w:type="dxa" w:w="9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THR-54، THR-55</w:t>
            </w:r>
          </w:p>
        </w:tc>
        <w:tc>
          <w:tcPr>
            <w:tcW w:type="dxa" w:w="23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FR-PLT-042، D-10</w:t>
            </w:r>
          </w:p>
        </w:tc>
        <w:tc>
          <w:tcPr>
            <w:tcW w:type="dxa" w:w="65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docs/10-detailed-analysis/10-m0-m1-platform-organization.md:562-575</w:t>
            </w:r>
          </w:p>
        </w:tc>
      </w:tr>
      <w:tr>
        <w:trPr>
          <w:cantSplit/>
        </w:trPr>
        <w:tc>
          <w:tcPr>
            <w:tcW w:type="dxa" w:w="9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THR-56، THR-57</w:t>
            </w:r>
          </w:p>
        </w:tc>
        <w:tc>
          <w:tcPr>
            <w:tcW w:type="dxa" w:w="23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O-13 (20-database-design)</w:t>
            </w:r>
          </w:p>
        </w:tc>
        <w:tc>
          <w:tcPr>
            <w:tcW w:type="dxa" w:w="65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docs/20-database-design.md:165</w:t>
            </w:r>
          </w:p>
        </w:tc>
      </w:tr>
      <w:tr>
        <w:trPr>
          <w:cantSplit/>
        </w:trPr>
        <w:tc>
          <w:tcPr>
            <w:tcW w:type="dxa" w:w="9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THR-58 إلى THR-60</w:t>
            </w:r>
          </w:p>
        </w:tc>
        <w:tc>
          <w:tcPr>
            <w:tcW w:type="dxa" w:w="23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X-SEC-2، Q-PLT-03، O-14 (20-database-design)، R5</w:t>
            </w:r>
          </w:p>
        </w:tc>
        <w:tc>
          <w:tcPr>
            <w:tcW w:type="dxa" w:w="65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docs/adr/0001-schema-work-on-linux.md:26</w:t>
            </w:r>
          </w:p>
        </w:tc>
      </w:tr>
    </w:tbl>
    <w:p>
      <w:pPr>
        <w:bidi/>
        <w:spacing w:after="120" w:before="0"/>
      </w:pPr>
    </w:p>
    <w:sectPr>
      <w:headerReference w:type="default" r:id="rId7"/>
      <w:footerReference w:type="default" r:id="rId8"/>
      <w:pgSz w:w="11906" w:h="16838" w:orient="portrait"/>
      <w:pgMar w:top="1134" w:right="1021" w:bottom="1134" w:left="1021" w:header="500" w:footer="500" w:gutter="0"/>
      <w:pgNumType/>
      <w:bidi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bidi/>
      <w:jc w:val="center"/>
    </w:pPr>
    <w:r>
      <w:rPr>
        <w:rFonts w:ascii="Arial" w:cs="Arial" w:eastAsia="Arial" w:hAnsi="Arial"/>
        <w:color w:val="5B6670"/>
        <w:sz w:val="17"/>
        <w:szCs w:val="17"/>
        <w:rtl/>
      </w:rPr>
      <w:t xml:space="preserve">صفحة </w:t>
    </w:r>
    <w:r>
      <w:rPr>
        <w:rFonts w:ascii="Arial" w:cs="Arial" w:eastAsia="Arial" w:hAnsi="Arial"/>
        <w:color w:val="5B6670"/>
        <w:sz w:val="17"/>
        <w:szCs w:val="17"/>
        <w:rtl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5B6670"/>
        <w:sz w:val="17"/>
        <w:szCs w:val="17"/>
        <w:rtl/>
      </w:rPr>
      <w:t xml:space="preserve"> من </w:t>
    </w:r>
    <w:r>
      <w:rPr>
        <w:rFonts w:ascii="Arial" w:cs="Arial" w:eastAsia="Arial" w:hAnsi="Arial"/>
        <w:color w:val="5B6670"/>
        <w:sz w:val="17"/>
        <w:szCs w:val="17"/>
        <w:rtl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C9D6" w:sz="4" w:space="4"/>
      </w:pBdr>
      <w:bidi/>
      <w:spacing w:after="0"/>
    </w:pPr>
    <w:r>
      <w:rPr>
        <w:rFonts w:ascii="Arial" w:cs="Arial" w:eastAsia="Arial" w:hAnsi="Arial"/>
        <w:color w:val="5B6670"/>
        <w:sz w:val="17"/>
        <w:szCs w:val="17"/>
        <w:rtl/>
      </w:rPr>
      <w:t xml:space="preserve">DOC-S01 · BankFas · مستندات الجاهزية P0 · 0.1 مسودة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74" w:hanging="284"/>
      </w:pPr>
    </w:lvl>
    <w:lvl w:ilvl="1" w15:tentative="1">
      <w:start w:val="1"/>
      <w:numFmt w:val="bullet"/>
      <w:lvlText w:val="–"/>
      <w:lvlJc w:val="left"/>
      <w:pPr>
        <w:ind w:left="1028" w:hanging="284"/>
      </w:pPr>
    </w:lvl>
    <w:lvl w:ilvl="2" w15:tentative="1">
      <w:start w:val="1"/>
      <w:numFmt w:val="bullet"/>
      <w:lvlText w:val="·"/>
      <w:lvlJc w:val="left"/>
      <w:pPr>
        <w:ind w:left="1482" w:hanging="284"/>
      </w:pPr>
    </w:lvl>
    <w:lvl w:ilvl="3" w15:tentative="1">
      <w:start w:val="1"/>
      <w:numFmt w:val="bullet"/>
      <w:lvlText w:val="·"/>
      <w:lvlJc w:val="left"/>
      <w:pPr>
        <w:ind w:left="1936" w:hanging="284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  <w:rtl/>
        <w:lang w:val="ar-SA" w:bidi="ar-SA"/>
      </w:rPr>
    </w:rPrDefault>
    <w:pPrDefault>
      <w:pPr>
        <w:bidi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qFormat/>
    <w:pPr>
      <w:bidi/>
      <w:spacing w:after="160" w:before="0"/>
    </w:pPr>
    <w:rPr>
      <w:b/>
      <w:bCs/>
      <w:color w:val="1F3A5F"/>
      <w:sz w:val="48"/>
      <w:szCs w:val="48"/>
    </w:rPr>
  </w:style>
  <w:style w:type="paragraph" w:styleId="Heading1">
    <w:name w:val="heading 1"/>
    <w:basedOn w:val="Normal"/>
    <w:next w:val="Normal"/>
    <w:qFormat/>
    <w:pPr>
      <w:keepNext/>
      <w:pBdr>
        <w:bottom w:val="single" w:color="1F3A5F" w:sz="8" w:space="3"/>
      </w:pBdr>
      <w:bidi/>
      <w:spacing w:after="140" w:before="380"/>
      <w:outlineLvl w:val="0"/>
    </w:pPr>
    <w:rPr>
      <w:b/>
      <w:bCs/>
      <w:color w:val="1F3A5F"/>
      <w:sz w:val="32"/>
      <w:szCs w:val="32"/>
    </w:rPr>
  </w:style>
  <w:style w:type="paragraph" w:styleId="Heading2">
    <w:name w:val="heading 2"/>
    <w:basedOn w:val="Normal"/>
    <w:next w:val="Normal"/>
    <w:qFormat/>
    <w:pPr>
      <w:keepNext/>
      <w:bidi/>
      <w:spacing w:after="100" w:before="260"/>
      <w:outlineLvl w:val="1"/>
    </w:pPr>
    <w:rPr>
      <w:b/>
      <w:bCs/>
      <w:color w:val="2B5C8A"/>
      <w:sz w:val="26"/>
      <w:szCs w:val="26"/>
    </w:rPr>
  </w:style>
  <w:style w:type="paragraph" w:styleId="Heading3">
    <w:name w:val="heading 3"/>
    <w:basedOn w:val="Normal"/>
    <w:next w:val="Normal"/>
    <w:qFormat/>
    <w:pPr>
      <w:keepNext/>
      <w:bidi/>
      <w:spacing w:after="80" w:before="200"/>
      <w:outlineLvl w:val="2"/>
    </w:pPr>
    <w:rPr>
      <w:b/>
      <w:bCs/>
      <w:color w:val="2B5C8A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DOC-S01 — نموذج التهديدات (STRIDE لكل حد ثقة)</dc:title>
  <dc:creator>Claude</dc:creator>
  <dc:description>BankFas database design document</dc:description>
  <cp:lastModifiedBy>Un-named</cp:lastModifiedBy>
  <cp:revision>1</cp:revision>
  <dcterms:created xsi:type="dcterms:W3CDTF">2026-10-24T18:23:15.568Z</dcterms:created>
  <dcterms:modified xsi:type="dcterms:W3CDTF">2026-10-24T18:23:15.568Z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