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 بعد التقييم.</w:t>
            </w:r>
            <w:r>
              <w:rPr>
                <w:rFonts w:ascii="Arial" w:cs="Arial" w:eastAsia="Arial" w:hAnsi="Arial"/>
                <w:b w:val="false"/>
                <w:bCs w:val="false"/>
                <w:sz w:val="18"/>
                <w:szCs w:val="18"/>
                <w:rtl/>
              </w:rPr>
              <w:t xml:space="preserve"> طلب المالك قائمة إجراءات، وطلب إضافة المفيد منها بعد التقييم. </w:t>
            </w:r>
            <w:r>
              <w:rPr>
                <w:rFonts w:ascii="Arial" w:cs="Arial" w:eastAsia="Arial" w:hAnsi="Arial"/>
                <w:b/>
                <w:bCs/>
                <w:sz w:val="18"/>
                <w:szCs w:val="18"/>
                <w:rtl/>
              </w:rPr>
              <w:t xml:space="preserve">موجود أصلًا ويُستكمل:</w:t>
            </w:r>
            <w:r>
              <w:rPr>
                <w:rFonts w:ascii="Arial" w:cs="Arial" w:eastAsia="Arial" w:hAnsi="Arial"/>
                <w:b w:val="false"/>
                <w:bCs w:val="false"/>
                <w:sz w:val="18"/>
                <w:szCs w:val="18"/>
                <w:rtl/>
              </w:rPr>
              <w:t xml:space="preserve"> UFW وjournald وauditd ونسخة السجلات غير القابلة للتعديل وفحص authorized_keys واللقطات (DOC-S10 وDOC-S12)، وخطة الاستجابة (DOC-S15)، وتحديد معدّل الدخول وإعادة التعيين في التطبيق. </w:t>
            </w:r>
            <w:r>
              <w:rPr>
                <w:rFonts w:ascii="Arial" w:cs="Arial" w:eastAsia="Arial" w:hAnsi="Arial"/>
                <w:b/>
                <w:bCs/>
                <w:sz w:val="18"/>
                <w:szCs w:val="18"/>
                <w:rtl/>
              </w:rPr>
              <w:t xml:space="preserve">يُضاف قبل التجربة (P0):</w:t>
            </w:r>
            <w:r>
              <w:rPr>
                <w:rFonts w:ascii="Arial" w:cs="Arial" w:eastAsia="Arial" w:hAnsi="Arial"/>
                <w:b w:val="false"/>
                <w:bCs w:val="false"/>
                <w:sz w:val="18"/>
                <w:szCs w:val="18"/>
                <w:rtl/>
              </w:rPr>
              <w:t xml:space="preserve"> (1) إيقاف خرائط الشيفرة في بناء الإنتاج: البناء الحالي ينشرها (</w:t>
            </w:r>
            <w:r>
              <w:rPr>
                <w:rFonts w:ascii="Courier New" w:cs="Courier New" w:eastAsia="Courier New" w:hAnsi="Courier New"/>
                <w:b w:val="false"/>
                <w:bCs w:val="false"/>
                <w:color w:val="1F2937"/>
                <w:sz w:val="16"/>
                <w:szCs w:val="16"/>
                <w:shd w:fill="F1F3F5" w:color="auto" w:val="clear"/>
                <w:rtl/>
              </w:rPr>
              <w:t xml:space="preserve">‎sourcemap: true‎</w:t>
            </w:r>
            <w:r>
              <w:rPr>
                <w:rFonts w:ascii="Arial" w:cs="Arial" w:eastAsia="Arial" w:hAnsi="Arial"/>
                <w:b w:val="false"/>
                <w:bCs w:val="false"/>
                <w:sz w:val="18"/>
                <w:szCs w:val="18"/>
                <w:rtl/>
              </w:rPr>
              <w:t xml:space="preserve"> في app/web/vite.config.ts)، وهذا خلل حقيقي؛ (2) تحديد المعدّل لكل عنوان على كل الواجهة البرمجية لا الدخول وحده، وحظر مؤقت للعنوان بعد تكرار الرفض، وقيمه إعدادات للمنصة، ويقرأ العنوان الحقيقي من X-Forwarded-For من الوكيل الموثوق وحده حتى لا يُحظر الوكيل أو CDN؛ (3) لوحة أحداث أمنية وسجل حوادث في لوحة المشغّل (المحاولات المرفوضة، والعناوين المحظورة، والكشوف غير المعتادة، والحوادث بحالتها)، وقناة تنبيه؛ (4) على الخادم: Caddy وكيلًا عكسيًا بشهادات تلقائية وسجلات JSON، وتدوير سجلات Docker، وFail2ban لـ SSH ولسجلات Caddy، وتحديد معدّل ICMP (ping) في UFW، ومراقبة المنافذ والموارد والتنبيه لـ SSH وUFW وCaddy وDocker؛ (5) دمج الخطوات الاثنتي عشرة في DOC-S15 دليلًا تقنيًا للاستجابة. </w:t>
            </w:r>
            <w:r>
              <w:rPr>
                <w:rFonts w:ascii="Arial" w:cs="Arial" w:eastAsia="Arial" w:hAnsi="Arial"/>
                <w:b/>
                <w:bCs/>
                <w:sz w:val="18"/>
                <w:szCs w:val="18"/>
                <w:rtl/>
              </w:rPr>
              <w:t xml:space="preserve">قبل الإطلاق العام (P1):</w:t>
            </w:r>
            <w:r>
              <w:rPr>
                <w:rFonts w:ascii="Arial" w:cs="Arial" w:eastAsia="Arial" w:hAnsi="Arial"/>
                <w:b w:val="false"/>
                <w:bCs w:val="false"/>
                <w:sz w:val="18"/>
                <w:szCs w:val="18"/>
                <w:rtl/>
              </w:rPr>
              <w:t xml:space="preserve"> Wazuh للتجميع المركزي وكشف التغيّر في الملفات (يغني عن AIDE، فلا يُشغَّلان معًا)، وGrafana/Loki اختياريًا لسجلات التشغيل، وتفعيل التحقق بخطوتين (الصف 46). </w:t>
            </w:r>
            <w:r>
              <w:rPr>
                <w:rFonts w:ascii="Arial" w:cs="Arial" w:eastAsia="Arial" w:hAnsi="Arial"/>
                <w:b/>
                <w:bCs/>
                <w:sz w:val="18"/>
                <w:szCs w:val="18"/>
                <w:rtl/>
              </w:rPr>
              <w:t xml:space="preserve">لا يُنصح به:</w:t>
            </w:r>
            <w:r>
              <w:rPr>
                <w:rFonts w:ascii="Arial" w:cs="Arial" w:eastAsia="Arial" w:hAnsi="Arial"/>
                <w:b w:val="false"/>
                <w:bCs w:val="false"/>
                <w:sz w:val="18"/>
                <w:szCs w:val="18"/>
                <w:rtl/>
              </w:rPr>
              <w:t xml:space="preserve"> تعطيل أدوات المطوّر أو الزر الأيمن في المتصفح، لأنه يُتجاوز بسهولة ويضر الاستخدام؛ والبديل أن الخادم يتحقق من كل عملية وأن المطبوع يحمل بصمته. </w:t>
            </w:r>
            <w:r>
              <w:rPr>
                <w:rFonts w:ascii="Arial" w:cs="Arial" w:eastAsia="Arial" w:hAnsi="Arial"/>
                <w:b/>
                <w:bCs/>
                <w:sz w:val="18"/>
                <w:szCs w:val="18"/>
                <w:rtl/>
              </w:rPr>
              <w:t xml:space="preserve">ملاحظتان:</w:t>
            </w:r>
            <w:r>
              <w:rPr>
                <w:rFonts w:ascii="Arial" w:cs="Arial" w:eastAsia="Arial" w:hAnsi="Arial"/>
                <w:b w:val="false"/>
                <w:bCs w:val="false"/>
                <w:sz w:val="18"/>
                <w:szCs w:val="18"/>
                <w:rtl/>
              </w:rPr>
              <w:t xml:space="preserve"> الإغراق الكبير (DDoS) لا يوقفه الخادم وحده، فيلزم مزوّد استضافة أو CDN بحماية منه؛ وCaddy وDocker يفترضان تشغيل التطبيق على Linux في حاويات، ووثيقة التشغيل الحالية تفترض Windows Server للتطبيق ولم يُحسم، فيُعتمد Linux مع هذا الصف ما لم يقرر المالك غير ذلك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يُبنى ويُكتب عند الاستئناف؛ P1 قبل الإطلاق العام</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2026-10-23T23:14:44.069Z</dcterms:created>
  <dcterms:modified xsi:type="dcterms:W3CDTF">2026-10-23T23:14:44.070Z</dcterms:modified>
</cp:coreProperties>
</file>

<file path=docProps/custom.xml><?xml version="1.0" encoding="utf-8"?>
<Properties xmlns="http://schemas.openxmlformats.org/officeDocument/2006/custom-properties" xmlns:vt="http://schemas.openxmlformats.org/officeDocument/2006/docPropsVTypes"/>
</file>