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7">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0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0">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1">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(1/3)</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(3/3)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(1/2)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(2/2)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(1/2)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(2/2)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(1/2)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(2/2)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(1/4)</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(2/4)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(3/4)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(4/4)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10.4 م1 · الهيكل المؤسسي والأشخاص</w:t>
      </w:r>
      <w:bookmarkEnd w:id="47"/>
    </w:p>
    <w:p>
      <w:pPr>
        <w:pStyle w:val="Heading3"/>
        <w:bidi/>
      </w:pPr>
      <w:bookmarkStart w:name="_sec48" w:id="48"/>
      <w:r>
        <w:rPr>
          <w:rFonts w:ascii="Arial" w:cs="Arial" w:eastAsia="Arial" w:hAnsi="Arial"/>
          <w:b/>
          <w:bCs/>
          <w:color w:val="2B5C8A"/>
          <w:sz w:val="23"/>
          <w:szCs w:val="23"/>
          <w:rtl/>
        </w:rPr>
        <w:t xml:space="preserve">م1 · الشركات والحوكمة (1/2)</w:t>
      </w:r>
      <w:bookmarkEnd w:id="48"/>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7"/>
        <w:gridCol w:w="1954"/>
        <w:gridCol w:w="897"/>
        <w:gridCol w:w="897"/>
        <w:gridCol w:w="897"/>
        <w:gridCol w:w="897"/>
        <w:gridCol w:w="925"/>
      </w:tblGrid>
      <w:tr>
        <w:trPr>
          <w:cantSplit/>
          <w:tblHeader/>
        </w:trPr>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الشركات والحوكمة (2/2)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ملف الشركة و KYC (1/2)</w:t>
      </w:r>
      <w:bookmarkEnd w:id="50"/>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(2/2)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(1/3)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(2/3)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(3/3)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5" w:id="55"/>
      <w:r>
        <w:rPr>
          <w:rFonts w:ascii="Arial" w:cs="Arial" w:eastAsia="Arial" w:hAnsi="Arial"/>
          <w:b/>
          <w:bCs/>
          <w:color w:val="2B5C8A"/>
          <w:sz w:val="26"/>
          <w:szCs w:val="26"/>
          <w:rtl/>
        </w:rPr>
        <w:t xml:space="preserve">10.5 م2–م3 · الجهات المالية والحسابات</w:t>
      </w:r>
      <w:bookmarkEnd w:id="55"/>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(1/3)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(2/3)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(3/3)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9" w:id="59"/>
      <w:r>
        <w:rPr>
          <w:rFonts w:ascii="Arial" w:cs="Arial" w:eastAsia="Arial" w:hAnsi="Arial"/>
          <w:b/>
          <w:bCs/>
          <w:color w:val="2B5C8A"/>
          <w:sz w:val="26"/>
          <w:szCs w:val="26"/>
          <w:rtl/>
        </w:rPr>
        <w:t xml:space="preserve">10.6 م4 · الكتالوجات والمراجع</w:t>
      </w:r>
      <w:bookmarkEnd w:id="59"/>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(1/3)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(2/3)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(3/3)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الكتالوجات المرجعية (1/2)</w:t>
      </w:r>
      <w:bookmarkEnd w:id="63"/>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(2/2)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الأسعار المرجعية والقوائم (1/2)</w:t>
      </w:r>
      <w:bookmarkEnd w:id="65"/>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(2/2)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المراجع العامة (ref)</w:t>
      </w:r>
      <w:bookmarkEnd w:id="67"/>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8"/>
    </w:p>
    <w:p>
      <w:pPr>
        <w:pStyle w:val="Heading3"/>
        <w:bidi/>
      </w:pPr>
      <w:bookmarkStart w:name="_sec69" w:id="69"/>
      <w:r>
        <w:rPr>
          <w:rFonts w:ascii="Arial" w:cs="Arial" w:eastAsia="Arial" w:hAnsi="Arial"/>
          <w:b/>
          <w:bCs/>
          <w:color w:val="2B5C8A"/>
          <w:sz w:val="23"/>
          <w:szCs w:val="23"/>
          <w:rtl/>
        </w:rPr>
        <w:t xml:space="preserve">م5 · التسهيلات والمراجعات (1/2)</w:t>
      </w:r>
      <w:bookmarkEnd w:id="69"/>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1"/>
        <w:gridCol w:w="1647"/>
        <w:gridCol w:w="859"/>
        <w:gridCol w:w="859"/>
        <w:gridCol w:w="859"/>
        <w:gridCol w:w="859"/>
        <w:gridCol w:w="1070"/>
      </w:tblGrid>
      <w:tr>
        <w:trPr>
          <w:cantSplit/>
          <w:tblHeader/>
        </w:trPr>
        <w:tc>
          <w:tcPr>
            <w:tcW w:type="dxa" w:w="3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التسهيلات والمراجعات (2/2)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الحدود والاستخدام والحجوزات (1/2)</w:t>
      </w:r>
      <w:bookmarkEnd w:id="71"/>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(2/2)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78142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8"/>
        <w:gridCol w:w="1728"/>
        <w:gridCol w:w="867"/>
        <w:gridCol w:w="867"/>
        <w:gridCol w:w="867"/>
        <w:gridCol w:w="867"/>
        <w:gridCol w:w="950"/>
      </w:tblGrid>
      <w:tr>
        <w:trPr>
          <w:cantSplit/>
          <w:tblHeader/>
        </w:trPr>
        <w:tc>
          <w:tcPr>
            <w:tcW w:type="dxa" w:w="3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التسعير وشروط المقارنة (1/2)</w:t>
      </w:r>
      <w:bookmarkEnd w:id="73"/>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2"/>
        <w:gridCol w:w="1794"/>
        <w:gridCol w:w="873"/>
        <w:gridCol w:w="873"/>
        <w:gridCol w:w="873"/>
        <w:gridCol w:w="873"/>
        <w:gridCol w:w="1076"/>
      </w:tblGrid>
      <w:tr>
        <w:trPr>
          <w:cantSplit/>
          <w:tblHeader/>
        </w:trPr>
        <w:tc>
          <w:tcPr>
            <w:tcW w:type="dxa" w:w="3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(2/2)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2"/>
        <w:gridCol w:w="1999"/>
        <w:gridCol w:w="891"/>
        <w:gridCol w:w="891"/>
        <w:gridCol w:w="891"/>
        <w:gridCol w:w="891"/>
        <w:gridCol w:w="1099"/>
      </w:tblGrid>
      <w:tr>
        <w:trPr>
          <w:cantSplit/>
          <w:tblHeader/>
        </w:trPr>
        <w:tc>
          <w:tcPr>
            <w:tcW w:type="dxa" w:w="3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الضمانات (1/2)</w:t>
      </w:r>
      <w:bookmarkEnd w:id="75"/>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(2/2)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الالتزامات والتعهدات (1/2)</w:t>
      </w:r>
      <w:bookmarkEnd w:id="77"/>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8"/>
        <w:gridCol w:w="2365"/>
        <w:gridCol w:w="1743"/>
        <w:gridCol w:w="847"/>
        <w:gridCol w:w="847"/>
        <w:gridCol w:w="847"/>
        <w:gridCol w:w="847"/>
      </w:tblGrid>
      <w:tr>
        <w:trPr>
          <w:cantSplit/>
          <w:tblHeader/>
        </w:trPr>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the application prevents editing a stored test (FR-OBL-011, FR-FIN-012/013, BR-OBL-006/007, section 8)</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1"/>
        <w:gridCol w:w="1891"/>
        <w:gridCol w:w="882"/>
        <w:gridCol w:w="882"/>
        <w:gridCol w:w="882"/>
        <w:gridCol w:w="882"/>
        <w:gridCol w:w="1134"/>
      </w:tblGrid>
      <w:tr>
        <w:trPr>
          <w:cantSplit/>
          <w:tblHeader/>
        </w:trPr>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(2/2)</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2"/>
        <w:gridCol w:w="2124"/>
        <w:gridCol w:w="2124"/>
        <w:gridCol w:w="821"/>
        <w:gridCol w:w="821"/>
        <w:gridCol w:w="821"/>
        <w:gridCol w:w="821"/>
      </w:tblGrid>
      <w:tr>
        <w:trPr>
          <w:cantSplit/>
          <w:tblHeader/>
        </w:trPr>
        <w:tc>
          <w:tcPr>
            <w:tcW w:type="dxa" w:w="2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0"/>
        <w:gridCol w:w="1919"/>
        <w:gridCol w:w="837"/>
        <w:gridCol w:w="837"/>
        <w:gridCol w:w="837"/>
        <w:gridCol w:w="837"/>
        <w:gridCol w:w="837"/>
      </w:tblGrid>
      <w:tr>
        <w:trPr>
          <w:cantSplit/>
          <w:tblHeader/>
        </w:trPr>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البيانات المالية والأرصدة (1/2)</w:t>
      </w:r>
      <w:bookmarkEnd w:id="7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البيانات المالية والأرصدة (2/2)</w:t>
      </w:r>
      <w:bookmarkEnd w:id="8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10.8 م6 · الطلبات ودورات العمل والإشعارات</w:t>
      </w:r>
      <w:bookmarkEnd w:id="81"/>
    </w:p>
    <w:p>
      <w:pPr>
        <w:pStyle w:val="Heading3"/>
        <w:bidi/>
      </w:pPr>
      <w:bookmarkStart w:name="_sec82" w:id="82"/>
      <w:r>
        <w:rPr>
          <w:rFonts w:ascii="Arial" w:cs="Arial" w:eastAsia="Arial" w:hAnsi="Arial"/>
          <w:b/>
          <w:bCs/>
          <w:color w:val="2B5C8A"/>
          <w:sz w:val="23"/>
          <w:szCs w:val="23"/>
          <w:rtl/>
        </w:rPr>
        <w:t xml:space="preserve">م6 · قوالب دورات العمل (1/3)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قوالب دورات العمل (2/3)</w:t>
      </w:r>
      <w:bookmarkEnd w:id="8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قوالب دورات العمل (3/3)</w:t>
      </w:r>
      <w:bookmarkEnd w:id="8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(1/3)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الطلبات وإجراءاتها (2/3)</w:t>
      </w:r>
      <w:bookmarkEnd w:id="8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الطلبات وإجراءاتها (3/3)</w:t>
      </w:r>
      <w:bookmarkEnd w:id="8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الإشعارات (1/2)</w:t>
      </w:r>
      <w:bookmarkEnd w:id="88"/>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الإشعارات (2/2)</w:t>
      </w:r>
      <w:bookmarkEnd w:id="89"/>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10.9 م7/م8 · الاعتمادات المستندية والبروفورما</w:t>
      </w:r>
      <w:bookmarkEnd w:id="90"/>
    </w:p>
    <w:p>
      <w:pPr>
        <w:pStyle w:val="Heading3"/>
        <w:bidi/>
      </w:pPr>
      <w:bookmarkStart w:name="_sec91" w:id="91"/>
      <w:r>
        <w:rPr>
          <w:rFonts w:ascii="Arial" w:cs="Arial" w:eastAsia="Arial" w:hAnsi="Arial"/>
          <w:b/>
          <w:bCs/>
          <w:color w:val="2B5C8A"/>
          <w:sz w:val="23"/>
          <w:szCs w:val="23"/>
          <w:rtl/>
        </w:rPr>
        <w:t xml:space="preserve">م7/م8 · شروط الاعتماد والنماذج (1/3)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شروط الاعتماد والنماذج (2/3)</w:t>
      </w:r>
      <w:bookmarkEnd w:id="92"/>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6"/>
        <w:gridCol w:w="1695"/>
        <w:gridCol w:w="2393"/>
        <w:gridCol w:w="820"/>
        <w:gridCol w:w="820"/>
        <w:gridCol w:w="820"/>
        <w:gridCol w:w="820"/>
      </w:tblGrid>
      <w:tr>
        <w:trPr>
          <w:cantSplit/>
          <w:tblHeader/>
        </w:trPr>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the rendered text is frozen at lock (FR-LCT-018, BR-LCT-012)</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(FR-LCT-020, BR-LCT-014)</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شروط الاعتماد والنماذج (3/3)</w:t>
      </w:r>
      <w:bookmarkEnd w:id="9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(1/3)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الاعتمادات والبروفورما (2/3)</w:t>
      </w:r>
      <w:bookmarkEnd w:id="95"/>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الاعتمادات والبروفورما (3/3)</w:t>
      </w:r>
      <w:bookmarkEnd w:id="9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8"/>
        <w:gridCol w:w="1332"/>
        <w:gridCol w:w="2546"/>
        <w:gridCol w:w="832"/>
        <w:gridCol w:w="832"/>
        <w:gridCol w:w="832"/>
        <w:gridCol w:w="832"/>
      </w:tblGrid>
      <w:tr>
        <w:trPr>
          <w:cantSplit/>
          <w:tblHeader/>
        </w:trPr>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never updated (DR-41)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7" w:id="97"/>
      <w:r>
        <w:rPr>
          <w:rFonts w:ascii="Arial" w:cs="Arial" w:eastAsia="Arial" w:hAnsi="Arial"/>
          <w:b/>
          <w:bCs/>
          <w:color w:val="1F3A5F"/>
          <w:sz w:val="32"/>
          <w:szCs w:val="32"/>
          <w:rtl/>
        </w:rPr>
        <w:t xml:space="preserve">11. أنماط التصميم للمجالات الرئيسية</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11.1 إقفال دورة العمل بيد إدارة الخزينة (C-7)</w:t>
      </w:r>
      <w:bookmarkEnd w:id="98"/>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9" w:id="99"/>
      <w:r>
        <w:rPr>
          <w:rFonts w:ascii="Arial" w:cs="Arial" w:eastAsia="Arial" w:hAnsi="Arial"/>
          <w:b/>
          <w:bCs/>
          <w:color w:val="2B5C8A"/>
          <w:sz w:val="26"/>
          <w:szCs w:val="26"/>
          <w:rtl/>
        </w:rPr>
        <w:t xml:space="preserve">11.2 الملكية المتعددة والمراجع المركّبة (DR-04 · DR-06 · DR-09 · DR-10)</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0" w:id="100"/>
      <w:r>
        <w:rPr>
          <w:rFonts w:ascii="Arial" w:cs="Arial" w:eastAsia="Arial" w:hAnsi="Arial"/>
          <w:b/>
          <w:bCs/>
          <w:color w:val="2B5C8A"/>
          <w:sz w:val="26"/>
          <w:szCs w:val="26"/>
          <w:rtl/>
        </w:rPr>
        <w:t xml:space="preserve">11.3 الكتالوجات المملوكة للمشترك (DR-03 · DR-05 · DR-07)</w:t>
      </w:r>
      <w:bookmarkEnd w:id="100"/>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101" w:id="101"/>
      <w:r>
        <w:rPr>
          <w:rFonts w:ascii="Arial" w:cs="Arial" w:eastAsia="Arial" w:hAnsi="Arial"/>
          <w:b/>
          <w:bCs/>
          <w:color w:val="1F3A5F"/>
          <w:sz w:val="32"/>
          <w:szCs w:val="32"/>
          <w:rtl/>
        </w:rPr>
        <w:t xml:space="preserve">12. النشر وإدارة التغيير</w:t>
      </w:r>
      <w:bookmarkEnd w:id="101"/>
    </w:p>
    <w:p>
      <w:pPr>
        <w:pStyle w:val="Heading2"/>
        <w:bidi/>
      </w:pPr>
      <w:bookmarkStart w:name="_sec102" w:id="10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3" w:id="103"/>
      <w:r>
        <w:rPr>
          <w:rFonts w:ascii="Arial" w:cs="Arial" w:eastAsia="Arial" w:hAnsi="Arial"/>
          <w:b/>
          <w:bCs/>
          <w:color w:val="2B5C8A"/>
          <w:sz w:val="26"/>
          <w:szCs w:val="26"/>
          <w:rtl/>
        </w:rPr>
        <w:t xml:space="preserve">12.2 تغيير النموذج</w:t>
      </w:r>
      <w:bookmarkEnd w:id="10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4" w:id="10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5" w:id="105"/>
      <w:r>
        <w:rPr>
          <w:rFonts w:ascii="Arial" w:cs="Arial" w:eastAsia="Arial" w:hAnsi="Arial"/>
          <w:b/>
          <w:bCs/>
          <w:color w:val="2B5C8A"/>
          <w:sz w:val="26"/>
          <w:szCs w:val="26"/>
          <w:rtl/>
        </w:rPr>
        <w:t xml:space="preserve">12.4 الأداء والحمل</w:t>
      </w:r>
      <w:bookmarkEnd w:id="10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6" w:id="106"/>
      <w:r>
        <w:rPr>
          <w:rFonts w:ascii="Arial" w:cs="Arial" w:eastAsia="Arial" w:hAnsi="Arial"/>
          <w:b/>
          <w:bCs/>
          <w:color w:val="1F3A5F"/>
          <w:sz w:val="32"/>
          <w:szCs w:val="32"/>
          <w:rtl/>
        </w:rPr>
        <w:t xml:space="preserve">13. البذور وتهيئة المشترك</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7" w:id="107"/>
      <w:r>
        <w:rPr>
          <w:rFonts w:ascii="Arial" w:cs="Arial" w:eastAsia="Arial" w:hAnsi="Arial"/>
          <w:b/>
          <w:bCs/>
          <w:color w:val="1F3A5F"/>
          <w:sz w:val="32"/>
          <w:szCs w:val="32"/>
          <w:rtl/>
        </w:rPr>
        <w:t xml:space="preserve">14. أدلة التحقق وحدودها (بصراحة)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21 حالة (إصلاحات المراجعة،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15. القرارات المتخذة (تُعتمد ما لم تعترض)</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16. حدود معروفة ونقاط مفتوحة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110" w:id="110"/>
      <w:r>
        <w:rPr>
          <w:rFonts w:ascii="Arial" w:cs="Arial" w:eastAsia="Arial" w:hAnsi="Arial"/>
          <w:b/>
          <w:bCs/>
          <w:color w:val="1F3A5F"/>
          <w:sz w:val="32"/>
          <w:szCs w:val="32"/>
          <w:rtl/>
        </w:rPr>
        <w:t xml:space="preserve">17. الخطوة التالية</w:t>
      </w:r>
      <w:bookmarkEnd w:id="11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1" w:id="111"/>
      <w:r>
        <w:rPr>
          <w:rFonts w:ascii="Arial" w:cs="Arial" w:eastAsia="Arial" w:hAnsi="Arial"/>
          <w:b/>
          <w:bCs/>
          <w:color w:val="1F3A5F"/>
          <w:sz w:val="32"/>
          <w:szCs w:val="32"/>
          <w:rtl/>
        </w:rPr>
        <w:t xml:space="preserve">18. مراجعة التصميم (Design review)</w:t>
      </w:r>
      <w:bookmarkEnd w:id="111"/>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2" w:id="112"/>
      <w:r>
        <w:rPr>
          <w:rFonts w:ascii="Arial" w:cs="Arial" w:eastAsia="Arial" w:hAnsi="Arial"/>
          <w:b/>
          <w:bCs/>
          <w:color w:val="2B5C8A"/>
          <w:sz w:val="26"/>
          <w:szCs w:val="26"/>
          <w:rtl/>
        </w:rPr>
        <w:t xml:space="preserve">18.1 النتائج الحرجة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18.2 النتائج الرئيسية والطفيفة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S1-b</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S2-b</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18.3 القرار</w:t>
      </w:r>
      <w:bookmarkEnd w:id="114"/>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كلها أو جزئيًا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وست نتائج والأجزاء الباقية شروط دخول لشرائحها، وDR-20 محلولة بـ DR-02.</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f4ad6bd805fb8ba74bb32a35be1b8a93c7e56e0d.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101438c2eebfd0717141bb568e77a17547d945d5.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cced7fb41ae595ff9c4380026278d487161498d.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05f53dc88ad0943efaead7b4c2d5ab1aa080fc4a.png"/><Relationship Id="rId53" Type="http://schemas.openxmlformats.org/officeDocument/2006/relationships/image" Target="media/2b2144d7fc608f1fdad5d8fbd5bcb05af47ed3a2.png"/><Relationship Id="rId54" Type="http://schemas.openxmlformats.org/officeDocument/2006/relationships/image" Target="media/d5d06d0ed7e79795ab5ed0ed5dbdf50949842418.png"/><Relationship Id="rId55" Type="http://schemas.openxmlformats.org/officeDocument/2006/relationships/image" Target="media/4982395d76e0d33b7f30ab097273feccdf168e04.png"/><Relationship Id="rId56" Type="http://schemas.openxmlformats.org/officeDocument/2006/relationships/image" Target="media/494c0f4a1326e3bbc19667850012a84e52403045.png"/><Relationship Id="rId57" Type="http://schemas.openxmlformats.org/officeDocument/2006/relationships/image" Target="media/f3c6a99e2f66df4dbe72197e44ae37e9973bbd72.png"/><Relationship Id="rId58" Type="http://schemas.openxmlformats.org/officeDocument/2006/relationships/image" Target="media/d539d1be88e22a9ddb39b43fe087de6d95fef4aa.png"/><Relationship Id="rId59" Type="http://schemas.openxmlformats.org/officeDocument/2006/relationships/image" Target="media/7ff803ad906bcfa2ebcbadf7dabb9605bc925441.png"/><Relationship Id="rId60" Type="http://schemas.openxmlformats.org/officeDocument/2006/relationships/image" Target="media/32e4178cfcb0982981bc4df131be60ca723fa475.png"/><Relationship Id="rId61" Type="http://schemas.openxmlformats.org/officeDocument/2006/relationships/image" Target="media/7300a75f1e07f1ea9aec9b51ff08678436fe43ba.png"/><Relationship Id="rId62" Type="http://schemas.openxmlformats.org/officeDocument/2006/relationships/image" Target="media/96ebc6fa69822558c7c239d6a27c23f8a70b39d4.png"/><Relationship Id="rId63" Type="http://schemas.openxmlformats.org/officeDocument/2006/relationships/image" Target="media/29590e30561ea7b950cc1ca528df7a1885be854b.png"/><Relationship Id="rId64" Type="http://schemas.openxmlformats.org/officeDocument/2006/relationships/image" Target="media/c3923270745ec1d61733243ee7111b3b6e68e05d.png"/><Relationship Id="rId65" Type="http://schemas.openxmlformats.org/officeDocument/2006/relationships/image" Target="media/fe9d9a8186638b18fae1e422875fcbe2eb728097.png"/><Relationship Id="rId66" Type="http://schemas.openxmlformats.org/officeDocument/2006/relationships/image" Target="media/b0939dc5f64d9418898980eb654a0547e53d205d.png"/><Relationship Id="rId67" Type="http://schemas.openxmlformats.org/officeDocument/2006/relationships/image" Target="media/2d58dca6be24cc25e139c5a76e2a4aecf89a044f.png"/><Relationship Id="rId68" Type="http://schemas.openxmlformats.org/officeDocument/2006/relationships/image" Target="media/c08708dd425ff7caf905c156d869c26b83ec0603.png"/><Relationship Id="rId69" Type="http://schemas.openxmlformats.org/officeDocument/2006/relationships/image" Target="media/c07c181f6bb574f7b888c1c4f10db1da4b196022.png"/><Relationship Id="rId70" Type="http://schemas.openxmlformats.org/officeDocument/2006/relationships/image" Target="media/7008bc244f86ea28562c3e07ecd466b89506f6b3.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2026-10-13T20:22:26.732Z</dcterms:created>
  <dcterms:modified xsi:type="dcterms:W3CDTF">2026-10-13T20:22:26.733Z</dcterms:modified>
</cp:coreProperties>
</file>

<file path=docProps/custom.xml><?xml version="1.0" encoding="utf-8"?>
<Properties xmlns="http://schemas.openxmlformats.org/officeDocument/2006/custom-properties" xmlns:vt="http://schemas.openxmlformats.org/officeDocument/2006/docPropsVTypes"/>
</file>