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3.0 (the owner's decisions after the reviews of version 2.9: releases 1A and 1B before launch, the shuttle opened city by city, the contact center and AI assistant in a later phase, 22.4; regulated routes with vehicles bound to their approved line and violations reported only in service and only when the regulator requires it, 4.15 e; school transport as a phase of its own, 21.3; licences and duties switched by configuration, 21.4; integrity of related rows, 16.29; hardening after the third-party technical audit, 16.30; operations readiness, 16.31; builds on 2.9)</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7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and foreign carriers)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w:t>
      </w:r>
    </w:p>
    <w:p>
      <w:pPr>
        <w:spacing w:after="100" w:before="0" w:line="300"/>
      </w:pPr>
      <w:r>
        <w:rPr>
          <w:rFonts w:ascii="Arial" w:cs="Arial" w:eastAsia="Arial" w:hAnsi="Arial"/>
          <w:sz w:val="22"/>
          <w:szCs w:val="22"/>
        </w:rPr>
        <w:t xml:space="preserve">6. Wallet, Payments and Settlement (cash, clearing and payout schedules)</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and call center)</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w:t>
      </w:r>
    </w:p>
    <w:p>
      <w:pPr>
        <w:spacing w:after="100" w:before="0" w:line="300"/>
      </w:pPr>
      <w:r>
        <w:rPr>
          <w:rFonts w:ascii="Arial" w:cs="Arial" w:eastAsia="Arial" w:hAnsi="Arial"/>
          <w:sz w:val="22"/>
          <w:szCs w:val="22"/>
        </w:rPr>
        <w:t xml:space="preserve">12. Syria as the System's Foundation, and Regional and International Expansion</w:t>
      </w:r>
    </w:p>
    <w:p>
      <w:pPr>
        <w:spacing w:after="100" w:before="0" w:line="300"/>
      </w:pPr>
      <w:r>
        <w:rPr>
          <w:rFonts w:ascii="Arial" w:cs="Arial" w:eastAsia="Arial" w:hAnsi="Arial"/>
          <w:sz w:val="22"/>
          <w:szCs w:val="22"/>
        </w:rPr>
        <w:t xml:space="preserve">13. Simplified Accounting and Integration with ERP Systems</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w:t>
      </w:r>
    </w:p>
    <w:p>
      <w:pPr>
        <w:spacing w:after="100" w:before="0" w:line="300"/>
      </w:pPr>
      <w:r>
        <w:rPr>
          <w:rFonts w:ascii="Arial" w:cs="Arial" w:eastAsia="Arial" w:hAnsi="Arial"/>
          <w:sz w:val="22"/>
          <w:szCs w:val="22"/>
        </w:rPr>
        <w:t xml:space="preserve">17. Load and Capacity Model</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Redis (search and availability cache only), a trip search engine, file storage, a Message Queue for events</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w:t>
      </w:r>
      <w:r>
        <w:rPr>
          <w:rFonts w:ascii="Arial" w:cs="Arial" w:eastAsia="Arial" w:hAnsi="Arial"/>
          <w:sz w:val="22"/>
          <w:szCs w:val="22"/>
        </w:rPr>
        <w:t xml:space="preserve"> daily reports for each seller, a cap on cash held by the driver (in future),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 CONFIRMED → COMPLETED / CANCELLED / EXPIRED / REFUNDED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 BOARDED → ALIGHTED / NO_SHOW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bl>
    <w:p>
      <w:pPr>
        <w:spacing w:after="80"/>
      </w:pP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Splitting the account into sub-accounts (Shards) by company or day, batching entries in small groups, then merging balances periodically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pipeline (Kafka then a time-series database), time partitioning, compression, 90-day hot retention then archiving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connection pooling (PgBouncer), date partitioning of large tables, considered indexes, read replicas for reports, archiving; the financial ledger stays in its own schema of the same database and is written in the booking's transaction (16.28)</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w:t>
      </w:r>
      <w:r>
        <w:rPr>
          <w:rFonts w:ascii="Arial" w:cs="Arial" w:eastAsia="Arial" w:hAnsi="Arial"/>
          <w:sz w:val="22"/>
          <w:szCs w:val="22"/>
        </w:rPr>
        <w:t xml:space="preserve"> search p95 under 500 ms, booking p95 under 3 seconds, QR scan under 1 second, booking and payment availability 99.95%.</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Warning:</w:t>
      </w:r>
      <w:r>
        <w:rPr>
          <w:rFonts w:ascii="Arial" w:cs="Arial" w:eastAsia="Arial" w:hAnsi="Arial"/>
          <w:sz w:val="22"/>
          <w:szCs w:val="22"/>
        </w:rPr>
        <w:t xml:space="preserve"> the current prototype runs on SQLite on a single node; migration to PostgreSQL is a prerequisite before any public launch.</w:t>
      </w:r>
    </w:p>
    <w:p>
      <w:pPr>
        <w:spacing w:after="80"/>
      </w:pP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1"/>
      </w:pPr>
      <w:r>
        <w:rPr>
          <w:rFonts w:ascii="Arial" w:cs="Arial" w:eastAsia="Arial" w:hAnsi="Arial"/>
        </w:rPr>
        <w:t xml:space="preserve">23. Risks and Required Decisions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completion: PUBLISHED/BOARDING → COMPLETED (releases funds and nets cash); cancellation by management: → CANCELLED with refund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or stop: ∅ → OPEN; new location: OPEN → RESOLVED; timeout elapsed: ESCALATED flag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are extracted automatically from the tested reference model (140 endpoints)</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bl>
    <w:p>
      <w:pPr>
        <w:spacing w:after="80"/>
      </w:pPr>
    </w:p>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(67 codes)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payment from the wallet,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 (for the driver/staff)</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cash.sell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netting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and recording remittances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(6.5), local wallets, alternatives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3.0)</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