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لا قاعدة بيانات بعد؛ تأتي وثيقتها بعد اعتماد هذا التحليل</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‎001-SA05-26‎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194 جدولًا في 20 مخططًا لكل الوحدات، بعد مراجعة خارجية (ربط الهوية بالمشترك، منح جدولية صريحة، غلاف تشفير مُصدَّر، إقفال دورة العمل بيد إدارة الخزينة). نُشرت على SQL Server 2025 في بيئة التطوير وتمر اختبارات العزل (41) وقاعدة الحصص (6) في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يتطلب قرارك:</w:t>
      </w:r>
      <w:r>
        <w:rPr>
          <w:rFonts w:ascii="Arial" w:cs="Arial" w:eastAsia="Arial" w:hAnsi="Arial"/>
          <w:b w:val="false"/>
          <w:bCs w:val="false"/>
          <w:sz w:val="21"/>
          <w:szCs w:val="21"/>
          <w:rtl/>
        </w:rPr>
        <w:t xml:space="preserve"> تعديل المواصفة 13 لإقفال دورة العمل (O-10).</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BaseCurrencyCode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w:t>
            </w:r>
            <w:r>
              <w:rPr>
                <w:rFonts w:ascii="Arial" w:cs="Arial" w:eastAsia="Arial" w:hAnsi="Arial"/>
                <w:b/>
                <w:bCs/>
                <w:sz w:val="18"/>
                <w:szCs w:val="18"/>
                <w:rtl/>
              </w:rPr>
              <w:t xml:space="preserve">حين يكون ترقيم PROFORMA مفعّلًا</w:t>
            </w:r>
            <w:r>
              <w:rPr>
                <w:rFonts w:ascii="Arial" w:cs="Arial" w:eastAsia="Arial" w:hAnsi="Arial"/>
                <w:b w:val="false"/>
                <w:bCs w:val="false"/>
                <w:sz w:val="18"/>
                <w:szCs w:val="18"/>
                <w:rtl/>
              </w:rPr>
              <w:t xml:space="preserve"> (تحذير وإلا،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‎SA03 8000 0000 6080 1016 7519‎</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7519‎</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Aliases ○ set · CurrencyId ○ · StaleAfterDays ○ int</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enum{GLOBAL,TENANT}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‎SA03 8000 0000 6080 1016 7519‎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7519‎</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بـ SourceRefId فارغ ابتداءً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يبقى SourceRefId فارغًا حتى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ثم يساوي LcId؛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لإدخال اعتماد قديم أو يدوي بلا حجز؛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4"/>
        <w:gridCol w:w="3098"/>
        <w:gridCol w:w="1179"/>
        <w:gridCol w:w="1032"/>
        <w:gridCol w:w="1179"/>
        <w:gridCol w:w="1902"/>
      </w:tblGrid>
      <w:tr>
        <w:trPr>
          <w:cantSplit/>
          <w:tblHeader/>
        </w:trPr>
        <w:tc>
          <w:tcPr>
            <w:tcW w:type="dxa" w:w="14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إضافة بنود للمشترك</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4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3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1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4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3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1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w:t>
            </w:r>
            <w:r>
              <w:rPr>
                <w:rFonts w:ascii="Arial" w:cs="Arial" w:eastAsia="Arial" w:hAnsi="Arial"/>
                <w:b/>
                <w:bCs/>
                <w:sz w:val="18"/>
                <w:szCs w:val="18"/>
                <w:rtl/>
              </w:rPr>
              <w:t xml:space="preserve">SourceRefId فارغ ابتداءً</w:t>
            </w:r>
            <w:r>
              <w:rPr>
                <w:rFonts w:ascii="Arial" w:cs="Arial" w:eastAsia="Arial" w:hAnsi="Arial"/>
                <w:b w:val="false"/>
                <w:bCs w:val="false"/>
                <w:sz w:val="18"/>
                <w:szCs w:val="18"/>
                <w:rtl/>
              </w:rPr>
              <w:t xml:space="preserve">)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وتعبّئ في المعاملة نفسها </w:t>
            </w:r>
            <w:r>
              <w:rPr>
                <w:rFonts w:ascii="Courier New" w:cs="Courier New" w:eastAsia="Courier New" w:hAnsi="Courier New"/>
                <w:b w:val="false"/>
                <w:bCs w:val="false"/>
                <w:color w:val="1F2937"/>
                <w:sz w:val="16"/>
                <w:szCs w:val="16"/>
                <w:shd w:fill="F1F3F5" w:color="auto" w:val="clear"/>
                <w:rtl/>
              </w:rPr>
              <w:t xml:space="preserve">‎Utilization.SourceRefId=LcId‎</w:t>
            </w:r>
            <w:r>
              <w:rPr>
                <w:rFonts w:ascii="Arial" w:cs="Arial" w:eastAsia="Arial" w:hAnsi="Arial"/>
                <w:b w:val="false"/>
                <w:bCs w:val="false"/>
                <w:sz w:val="18"/>
                <w:szCs w:val="18"/>
                <w:rtl/>
              </w:rPr>
              <w:t xml:space="preserve"> بتحديث وحيد من فارغ إلى قيمة (أي تعديل آخر لـ SourceRefId مرفوض IMMUTABLE_SOURCE)؛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SourceRefId،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الفرادة على (SourceType، SourceRefId) حين SourceRefId غير فارغ (وإلا DUPLICATE_SOURCE)،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4572"/>
        <w:gridCol w:w="3007"/>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لغير الإلزامي تُحفظ صفرًا صريحًا عند التقديم؛ بنود IsRequired الفارغة تمنعه</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4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3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4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3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SourceRefId ○ (فارغ ابتداءً لبند LC المنشأ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حتى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تحديث وحيد من فارغ إلى قيمة) · Status ★ enum{ACTIVE,RELEASED} · ReleasedOn/Reason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(SourceType,SourceRefId) </w:t>
            </w:r>
            <w:r>
              <w:rPr>
                <w:rFonts w:ascii="Arial" w:cs="Arial" w:eastAsia="Arial" w:hAnsi="Arial"/>
                <w:b/>
                <w:bCs/>
                <w:sz w:val="18"/>
                <w:szCs w:val="18"/>
                <w:rtl/>
              </w:rPr>
              <w:t xml:space="preserve">حين SourceRefId غير فارغ</w:t>
            </w:r>
            <w:r>
              <w:rPr>
                <w:rFonts w:ascii="Arial" w:cs="Arial" w:eastAsia="Arial" w:hAnsi="Arial"/>
                <w:b w:val="false"/>
                <w:bCs w:val="false"/>
                <w:sz w:val="18"/>
                <w:szCs w:val="18"/>
                <w:rtl/>
              </w:rPr>
              <w:t xml:space="preserve">؛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TitleAr ★ · Description ○ · OwnerPartyId ○ →Party (مزوّد Collateral owner، FR-COL-015؛ وشركة المجموعة المالكة تُمثَّل بـ Party المرآة فلا مسار Company موازٍ) · Attributes ○ JSON (قالب النوع) · Status ★ enum{DRAFT,ACTIVE,RELEASED,EXPIRED,SUPERSEDED,DISCARDED} · ApprovalState ★ enum{DRAFT,APPROVED}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483"/>
        <w:gridCol w:w="4451"/>
        <w:gridCol w:w="252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enum{ACTIVE,SUSPENDED,ENDED} · ValidFrom ★ · ValidTo ○</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 ★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(Obligation,PeriodEnd أو EventDate).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 · PeriodStart/End ★ · DueDate ★ · EvaluationNo ★ · State ★ enum{SCHEDULED,PENDING_DATA,EVALUATED,REVIEWED}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(Covenant,PeriodEnd,EvaluationNo)؛ المقيَّم لا يتغير إلا بمراجعته: EVALUATED→REVIEWED مرة بحقول المراجعة، وبعدها NextReviewOn وحده؛ لا حذف ولا رجوع ولا تعهد آخر (قادح، DR-39، DQ-F15-4)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Kind ★ enum{COVENANT_BREACH,LATE_REPORT,RESTRICTION_VIOLATION,OTHER} · CovenantTestId ○ · ReportingInstanceId ○ · DetectedOn ★ · Description ○ · Status ★ enum{OPEN,IN_CURE,CURED,WAIVED,CLOSED_NO_ACTION} · CureDeadline ○ · BankNotifiedOn ○ · WaiverRef ○ · WaiverDate ○ · WaiverBankContactId ○ · WaiverConditions ○ · WaiverValidUntil ○ · WaiverDocumentId ○ · ConsequenceApplied ○ · ResolvedOn ○ · NeedsReview ★</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CovenantTestId</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1180"/>
        <w:gridCol w:w="3473"/>
        <w:gridCol w:w="3961"/>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bl>
    <w:p>
      <w:pPr>
        <w:bidi/>
        <w:spacing w:after="120" w:before="0"/>
      </w:pP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(39): أصول </w:t>
      </w:r>
      <w:r>
        <w:rPr>
          <w:rFonts w:ascii="Courier New" w:cs="Courier New" w:eastAsia="Courier New" w:hAnsi="Courier New"/>
          <w:b w:val="false"/>
          <w:bCs w:val="false"/>
          <w:color w:val="1F2937"/>
          <w:sz w:val="18"/>
          <w:szCs w:val="18"/>
          <w:shd w:fill="F1F3F5" w:color="auto" w:val="clear"/>
          <w:rtl/>
        </w:rPr>
        <w:t xml:space="preserve">‎CASH AR INVENTORY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CURRENT_PORTION_LTD AP OTHER_CL TOTAL_CL* LT_LOANS LEASE_LIABS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DEPR_AMORT EBITDA* OPERATING_PROFIT*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‎EBITDA = GROSS_PROFIT − OPEX‎</w:t>
      </w:r>
      <w:r>
        <w:rPr>
          <w:rFonts w:ascii="Arial" w:cs="Arial" w:eastAsia="Arial" w:hAnsi="Arial"/>
          <w:b w:val="false"/>
          <w:bCs w:val="false"/>
          <w:sz w:val="21"/>
          <w:szCs w:val="21"/>
          <w:rtl/>
        </w:rPr>
        <w:t xml:space="preserve"> بافتراض أن OPEX لا يشمل الاستهلاك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بـ SourceRefId فارغ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وتعبّئ SourceRefId=LcId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سبب)؛ ACTIVE→EXPIRED/TERMINATED بحسم NOT_CONFIRMED أو يدويًا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RELEASED نهائية ولا تعديل عليها؛ SourceRefId يُعبَّأ مرة واحدة من فارغ إلى LcId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باعتماد TM؛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(SourceType، SourceRefId) فريد حين SourceRefId غير فارغ؛ بند LC بلا SourceRefId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بلا SourceRefId)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3795"/>
        <w:gridCol w:w="2023"/>
        <w:gridCol w:w="2023"/>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بلا SourceRefId</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3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3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(وSourceRefId فارغ ابتداءً تعبّئه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بـ LcId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6"/>
        <w:gridCol w:w="7357"/>
        <w:gridCol w:w="1251"/>
      </w:tblGrid>
      <w:tr>
        <w:trPr>
          <w:cantSplit/>
          <w:tblHeader/>
        </w:trPr>
        <w:tc>
          <w:tcPr>
            <w:tcW w:type="dxa" w:w="12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7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7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7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2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7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2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7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SourceRefId · IdempotencyKey لأوامر الحجز؛ وحقل Source/Origin/EntryMethod على القيم (MANUAL الآن) وRowVersion لكل صف وإصدار للأحداث؛ لا استدعاء خارجي من الوحدة</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يعبّئ Utilization.SourceRefId بـ LcId؛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بـ SourceRefId فارغ ثم يساوي LcId بعد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بـ SourceRefId فارغ عند التحويل ثم يساوي LcId بتعبئة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القالب الافتراضي، مفتاح الترقيم، علم «يستهلك حدًّا» ConsumesCreditLimit ووضع فحصه LimitCheckMode، مفتاحا حقلي المبلغ والمنتج، تفعيل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الافتراضي لغة المشترك الافتراضية ثم العربية)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HookKey, StageInstanceId, Trigger)؛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وSourceRefId فارغ مؤقتًا ويصير الحجز CONVERTED؛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وتملأ Utilization.SourceRefId = LcId في المعاملة نفسها (تفرّد (SourceType, SourceRefId) يسري على غير الفارغ).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144"/>
        <w:gridCol w:w="278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7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بـ SourceRefId فارغ مؤقتًا ويصير الحجز CONVERTED؛ ثم تملأ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الحقل SourceRefId = LcId في المعاملة نفسها (التفرّد على (SourceType, SourceRefId) غير الفارغ)</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7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7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SourceRefId, ...)‎</w:t>
      </w:r>
      <w:r>
        <w:rPr>
          <w:rFonts w:ascii="Arial" w:cs="Arial" w:eastAsia="Arial" w:hAnsi="Arial"/>
          <w:b w:val="false"/>
          <w:bCs w:val="false"/>
          <w:sz w:val="21"/>
          <w:szCs w:val="21"/>
          <w:rtl/>
        </w:rPr>
        <w:t xml:space="preserve"> لإدخال الاعتمادات القديمة أو اليدوية.</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ويملأ Utilization.SourceRefId = LcId،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 NumberOnStageKey خ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LabelAr/LabelEn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SubjectRef خ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FallbackRule</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م · Mode </w:t>
            </w:r>
            <w:r>
              <w:rPr>
                <w:rFonts w:ascii="Courier New" w:cs="Courier New" w:eastAsia="Courier New" w:hAnsi="Courier New"/>
                <w:b w:val="false"/>
                <w:bCs w:val="false"/>
                <w:color w:val="1F2937"/>
                <w:sz w:val="16"/>
                <w:szCs w:val="16"/>
                <w:shd w:fill="F1F3F5" w:color="auto" w:val="clear"/>
                <w:rtl/>
              </w:rPr>
              <w:t xml:space="preserve">‎enum{IMMEDIATE,DIGEST_DAILY,OFF}‎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ReadAt · ArchivedAt · DedupKey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لغير الفارغ.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NotificationEventType · NotificationRule · NotificationTemplate · NotificationPreference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بـ SourceRefId فارغ ثم تملؤه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بـ LcId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بـ SourceRefId فارغ مؤقتًا،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ويعبّئ </w:t>
            </w:r>
            <w:r>
              <w:rPr>
                <w:rFonts w:ascii="Courier New" w:cs="Courier New" w:eastAsia="Courier New" w:hAnsi="Courier New"/>
                <w:b/>
                <w:bCs/>
                <w:color w:val="1F2937"/>
                <w:sz w:val="16"/>
                <w:szCs w:val="16"/>
                <w:shd w:fill="F1F3F5" w:color="auto" w:val="clear"/>
                <w:rtl/>
              </w:rPr>
              <w:t xml:space="preserve">‎Utilization.SourceRefId = LcId‎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بـ SourceRefId فارغ ويساوي LcId الاعتمادَ المنشأ</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سجل الاعتماد أولًا ثم Utilization (SourceType=LC، SourceRefId=LcId)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بلا حجز،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الإدخال بـ (LC، LcId) نفسه تُرفض DUPLICATE_SOURCE</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يعبّئ SourceRefId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سجل الاعتماد ثم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SourceRefId=LcId)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بـ SourceRefId فارغ ابتداءً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وتعبّئ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في المعاملة نفسها (الفرادة على (SourceType، SourceRefId) غير الفارغ)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SourceRefId,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 وSourceRefId فارغ)</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وتعبئة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(تحديث وحيد من فارغ إلى قيمة)؛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خ (مشتريات: بنك الإصدار؛ مبيعات: بنكنا المبلّغ/المحصّل)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Channel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خ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وتعبّئ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 RequestId →Request خ · ProformaId خ (مبيعات)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ويُعبَّأ </w:t>
      </w:r>
      <w:r>
        <w:rPr>
          <w:rFonts w:ascii="Courier New" w:cs="Courier New" w:eastAsia="Courier New" w:hAnsi="Courier New"/>
          <w:b w:val="false"/>
          <w:bCs w:val="false"/>
          <w:color w:val="1F2937"/>
          <w:sz w:val="18"/>
          <w:szCs w:val="18"/>
          <w:shd w:fill="F1F3F5" w:color="auto" w:val="clear"/>
          <w:rtl/>
        </w:rPr>
        <w:t xml:space="preserve">‎Utilization.SourceRefId‎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489585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48958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يتطلب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يعبّئ </w:t>
            </w:r>
            <w:r>
              <w:rPr>
                <w:rFonts w:ascii="Courier New" w:cs="Courier New" w:eastAsia="Courier New" w:hAnsi="Courier New"/>
                <w:b w:val="false"/>
                <w:bCs w:val="false"/>
                <w:color w:val="1F2937"/>
                <w:sz w:val="16"/>
                <w:szCs w:val="16"/>
                <w:shd w:fill="F1F3F5" w:color="auto" w:val="clear"/>
                <w:rtl/>
              </w:rPr>
              <w:t xml:space="preserve">‎Utilization.SourceRefId = LcId‎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بـ SourceRefId فارغ ثم تعبّئه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بـ LcId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7.</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470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ويندوز وASP.NET Core على .NET وSQL Server بآخر إصدار GA مستقر دائمًا حتى لو ك…</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(39 بندًا مزروعًا: ميزانية، دخل، تدفقات اختيارية) بإجماليات محسوبة وإمكان إضاف…</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القال…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الافتراضي لغة المشترك الافتراضية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سجل الاعتماد أو…</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ff2bc8aeb09a355e659407cb47e0b1476e015c55.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61568ec36b15932aaa8f74684ef4efe21a9c0464.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2026-10-13T23:23:35.646Z</dcterms:created>
  <dcterms:modified xsi:type="dcterms:W3CDTF">2026-10-13T23:23:35.646Z</dcterms:modified>
</cp:coreProperties>
</file>

<file path=docProps/custom.xml><?xml version="1.0" encoding="utf-8"?>
<Properties xmlns="http://schemas.openxmlformats.org/officeDocument/2006/custom-properties" xmlns:vt="http://schemas.openxmlformats.org/officeDocument/2006/docPropsVTypes"/>
</file>