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DATABASE DESIGN AND ERD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8138"/>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0.3)</w:t>
            </w:r>
            <w:r>
              <w:rPr>
                <w:rFonts w:ascii="Arial" w:cs="Arial" w:eastAsia="Arial" w:hAnsi="Arial"/>
                <w:b w:val="false"/>
                <w:bCs w:val="false"/>
                <w:sz w:val="18"/>
                <w:szCs w:val="18"/>
                <w:rtl/>
              </w:rPr>
              <w:t xml:space="preserve"> — تصميم قاعدة البيانات مع مخططات ERD مهنية (تدوين Crow's Foot) ومواصفات الجداول والعلاقات، مُولَّدة من النموذج</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2026-10-11</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(194 جدولًا في 20 مخططًا) — الملفات المولَّدة لا تُعدَّل يدويًا</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‎tools/dbgen/erd_mermaid.py‎</w:t>
            </w:r>
            <w:r>
              <w:rPr>
                <w:rFonts w:ascii="Arial" w:cs="Arial" w:eastAsia="Arial" w:hAnsi="Arial"/>
                <w:b w:val="false"/>
                <w:bCs w:val="false"/>
                <w:sz w:val="18"/>
                <w:szCs w:val="18"/>
                <w:rtl/>
              </w:rPr>
              <w:t xml:space="preserve"> (المخططات) · </w:t>
            </w:r>
            <w:r>
              <w:rPr>
                <w:rFonts w:ascii="Courier New" w:cs="Courier New" w:eastAsia="Courier New" w:hAnsi="Courier New"/>
                <w:b w:val="false"/>
                <w:bCs w:val="false"/>
                <w:color w:val="1F2937"/>
                <w:sz w:val="16"/>
                <w:szCs w:val="16"/>
                <w:shd w:fill="F1F3F5" w:color="auto" w:val="clear"/>
                <w:rtl/>
              </w:rPr>
              <w:t xml:space="preserve">‎tools/dbgen/build_erd_doc.py‎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‎tools/dbgen/check_review_fixes.py‎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 0.2)</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4">
        <w:r>
          <w:rPr>
            <w:rFonts w:ascii="Arial" w:cs="Arial" w:eastAsia="Arial" w:hAnsi="Arial"/>
            <w:b/>
            <w:bCs/>
            <w:color w:val="1F3A5F"/>
            <w:sz w:val="20"/>
            <w:szCs w:val="20"/>
            <w:rtl/>
          </w:rPr>
          <w:t xml:space="preserve">8. الفهرسة</w:t>
        </w:r>
      </w:hyperlink>
    </w:p>
    <w:p>
      <w:pPr>
        <w:bidi/>
        <w:spacing w:after="50" w:before="0"/>
        <w:ind w:left="0"/>
      </w:pPr>
      <w:hyperlink w:history="1" w:anchor="_sec25">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0">
        <w:r>
          <w:rPr>
            <w:rFonts w:ascii="Arial" w:cs="Arial" w:eastAsia="Arial" w:hAnsi="Arial"/>
            <w:b/>
            <w:bCs/>
            <w:color w:val="1F3A5F"/>
            <w:sz w:val="20"/>
            <w:szCs w:val="20"/>
            <w:rtl/>
          </w:rPr>
          <w:t xml:space="preserve">10. ERD والمواصفات التفصيلية حسب الوحدة</w:t>
        </w:r>
      </w:hyperlink>
    </w:p>
    <w:p>
      <w:pPr>
        <w:bidi/>
        <w:spacing w:after="50" w:before="0"/>
        <w:ind w:left="0"/>
      </w:pPr>
      <w:hyperlink w:history="1" w:anchor="_sec97">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101">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106">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107">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108">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109">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110">
        <w:r>
          <w:rPr>
            <w:rFonts w:ascii="Arial" w:cs="Arial" w:eastAsia="Arial" w:hAnsi="Arial"/>
            <w:b/>
            <w:bCs/>
            <w:color w:val="1F3A5F"/>
            <w:sz w:val="20"/>
            <w:szCs w:val="20"/>
            <w:rtl/>
          </w:rPr>
          <w:t xml:space="preserve">17. الخطوة التالية</w:t>
        </w:r>
      </w:hyperlink>
    </w:p>
    <w:p>
      <w:pPr>
        <w:bidi/>
        <w:spacing w:after="50" w:before="0"/>
        <w:ind w:left="0"/>
      </w:pPr>
      <w:hyperlink w:history="1" w:anchor="_sec111">
        <w:r>
          <w:rPr>
            <w:rFonts w:ascii="Arial" w:cs="Arial" w:eastAsia="Arial" w:hAnsi="Arial"/>
            <w:b/>
            <w:bCs/>
            <w:color w:val="1F3A5F"/>
            <w:sz w:val="20"/>
            <w:szCs w:val="20"/>
            <w:rtl/>
          </w:rPr>
          <w:t xml:space="preserve">18. مراجعة التصميم (Design review)</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 0.2)</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4980"/>
        <w:gridCol w:w="3911"/>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3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C-11</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بناء الوثيقة كـ </w:t>
            </w:r>
            <w:r>
              <w:rPr>
                <w:rFonts w:ascii="Arial" w:cs="Arial" w:eastAsia="Arial" w:hAnsi="Arial"/>
                <w:b/>
                <w:bCs/>
                <w:sz w:val="18"/>
                <w:szCs w:val="18"/>
                <w:rtl/>
              </w:rPr>
              <w:t xml:space="preserve">DATABASE DESIGN AND ERD</w:t>
            </w:r>
            <w:r>
              <w:rPr>
                <w:rFonts w:ascii="Arial" w:cs="Arial" w:eastAsia="Arial" w:hAnsi="Arial"/>
                <w:b w:val="false"/>
                <w:bCs w:val="false"/>
                <w:sz w:val="18"/>
                <w:szCs w:val="18"/>
                <w:rtl/>
              </w:rPr>
              <w:t xml:space="preserve">: مخططات Crow's Foot مهنية، ومواصفة لكل جدول ولكل علاقة، مُولَّدة من النموذج بدل الصور البسيطة السابقة</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ERD بمستوى مهني ومواصفات كاملة لكل جدول ومودول وعلاقة</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(§18)</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7319"/>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3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198</w:t>
            </w:r>
            <w:r>
              <w:rPr>
                <w:rFonts w:ascii="Arial" w:cs="Arial" w:eastAsia="Arial" w:hAnsi="Arial"/>
                <w:b w:val="false"/>
                <w:bCs w:val="false"/>
                <w:sz w:val="18"/>
                <w:szCs w:val="18"/>
                <w:rtl/>
              </w:rPr>
              <w:t xml:space="preserve"> في 20 مخططًا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3,280 مُعرَّفة في النماذج + الأعمدة الآلية = </w:t>
            </w:r>
            <w:r>
              <w:rPr>
                <w:rFonts w:ascii="Arial" w:cs="Arial" w:eastAsia="Arial" w:hAnsi="Arial"/>
                <w:b/>
                <w:bCs/>
                <w:sz w:val="18"/>
                <w:szCs w:val="18"/>
                <w:rtl/>
              </w:rPr>
              <w:t xml:space="preserve">3,804</w:t>
            </w:r>
            <w:r>
              <w:rPr>
                <w:rFonts w:ascii="Arial" w:cs="Arial" w:eastAsia="Arial" w:hAnsi="Arial"/>
                <w:b w:val="false"/>
                <w:bCs w:val="false"/>
                <w:sz w:val="18"/>
                <w:szCs w:val="18"/>
                <w:rtl/>
              </w:rPr>
              <w:t xml:space="preserve"> في DDL</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763</w:t>
            </w:r>
            <w:r>
              <w:rPr>
                <w:rFonts w:ascii="Arial" w:cs="Arial" w:eastAsia="Arial" w:hAnsi="Arial"/>
                <w:b w:val="false"/>
                <w:bCs w:val="false"/>
                <w:sz w:val="18"/>
                <w:szCs w:val="18"/>
                <w:rtl/>
              </w:rPr>
              <w:t xml:space="preserve"> = 184 لملكية المشترك (</w:t>
            </w:r>
            <w:r>
              <w:rPr>
                <w:rFonts w:ascii="Courier New" w:cs="Courier New" w:eastAsia="Courier New" w:hAnsi="Courier New"/>
                <w:b w:val="false"/>
                <w:bCs w:val="false"/>
                <w:color w:val="1F2937"/>
                <w:sz w:val="16"/>
                <w:szCs w:val="16"/>
                <w:shd w:fill="F1F3F5" w:color="auto" w:val="clear"/>
                <w:rtl/>
              </w:rPr>
              <w:t xml:space="preserve">‎TenantId → plat.Tenant‎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515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+ 64 بسيطة نحو جداول عالمية/مختلطة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 غير مجمّع (206 مصفّاة · 47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1,158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387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+ 128 فهرسًا فريدًا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(جذور التجميعات المعرَّضة عبر API)</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(180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الـ11 العالمية خارجها)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يقرأ التطبيق وحدات مشتركه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198 جدولًا؛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(88 مفتاحًا من الـ515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362075"/>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362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48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(161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(36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موسومة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(763)،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الفهرسة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(196)</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(47)</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مفتاحان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فلا مسارات تعاقب متعددة.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5" w:id="25"/>
      <w:r>
        <w:rPr>
          <w:rFonts w:ascii="Arial" w:cs="Arial" w:eastAsia="Arial" w:hAnsi="Arial"/>
          <w:b/>
          <w:bCs/>
          <w:color w:val="1F3A5F"/>
          <w:sz w:val="32"/>
          <w:szCs w:val="32"/>
          <w:rtl/>
        </w:rPr>
        <w:t xml:space="preserve">9. الأدوار والصلاحيات (على مستوى القاعدة)</w:t>
      </w:r>
      <w:bookmarkEnd w:id="25"/>
    </w:p>
    <w:p>
      <w:pPr>
        <w:pStyle w:val="Heading2"/>
        <w:bidi/>
      </w:pPr>
      <w:bookmarkStart w:name="_sec26" w:id="26"/>
      <w:r>
        <w:rPr>
          <w:rFonts w:ascii="Arial" w:cs="Arial" w:eastAsia="Arial" w:hAnsi="Arial"/>
          <w:b/>
          <w:bCs/>
          <w:color w:val="2B5C8A"/>
          <w:sz w:val="26"/>
          <w:szCs w:val="26"/>
          <w:rtl/>
        </w:rPr>
        <w:t xml:space="preserve">9.1 الأدوار</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7" w:id="27"/>
      <w:r>
        <w:rPr>
          <w:rFonts w:ascii="Arial" w:cs="Arial" w:eastAsia="Arial" w:hAnsi="Arial"/>
          <w:b/>
          <w:bCs/>
          <w:color w:val="2B5C8A"/>
          <w:sz w:val="26"/>
          <w:szCs w:val="26"/>
          <w:rtl/>
        </w:rPr>
        <w:t xml:space="preserve">9.2 من أين تأتي المنح</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33"/>
        <w:gridCol w:w="3131"/>
      </w:tblGrid>
      <w:tr>
        <w:trPr>
          <w:cantSplit/>
          <w:tblHeader/>
        </w:trPr>
        <w:tc>
          <w:tcPr>
            <w:tcW w:type="dxa" w:w="6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(204 عبارات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9.3 التحقق الثابت من الصلاحيات</w:t>
      </w:r>
      <w:bookmarkEnd w:id="2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29" w:id="29"/>
      <w:r>
        <w:rPr>
          <w:rFonts w:ascii="Arial" w:cs="Arial" w:eastAsia="Arial" w:hAnsi="Arial"/>
          <w:b/>
          <w:bCs/>
          <w:color w:val="2B5C8A"/>
          <w:sz w:val="26"/>
          <w:szCs w:val="26"/>
          <w:rtl/>
        </w:rPr>
        <w:t xml:space="preserve">9.4 قواعد عامة</w:t>
      </w:r>
      <w:bookmarkEnd w:id="29"/>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0" w:id="30"/>
      <w:r>
        <w:rPr>
          <w:rFonts w:ascii="Arial" w:cs="Arial" w:eastAsia="Arial" w:hAnsi="Arial"/>
          <w:b/>
          <w:bCs/>
          <w:color w:val="1F3A5F"/>
          <w:sz w:val="32"/>
          <w:szCs w:val="32"/>
          <w:rtl/>
        </w:rPr>
        <w:t xml:space="preserve">10. ERD والمواصفات التفصيلية حسب الوحدة</w:t>
      </w:r>
      <w:bookmarkEnd w:id="30"/>
    </w:p>
    <w:p>
      <w:pPr>
        <w:bidi/>
        <w:spacing w:after="110" w:before="0" w:line="312"/>
      </w:pPr>
      <w:r>
        <w:rPr>
          <w:rFonts w:ascii="Arial" w:cs="Arial" w:eastAsia="Arial" w:hAnsi="Arial"/>
          <w:b w:val="false"/>
          <w:bCs w:val="false"/>
          <w:sz w:val="21"/>
          <w:szCs w:val="21"/>
          <w:rtl/>
        </w:rPr>
        <w:t xml:space="preserve">كل مخطط في هذا القسم </w:t>
      </w:r>
      <w:r>
        <w:rPr>
          <w:rFonts w:ascii="Arial" w:cs="Arial" w:eastAsia="Arial" w:hAnsi="Arial"/>
          <w:b/>
          <w:bCs/>
          <w:sz w:val="21"/>
          <w:szCs w:val="21"/>
          <w:rtl/>
        </w:rPr>
        <w:t xml:space="preserve">مُولَّد من النموذج نفسه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‎db/model‎</w:t>
      </w:r>
      <w:r>
        <w:rPr>
          <w:rFonts w:ascii="Arial" w:cs="Arial" w:eastAsia="Arial" w:hAnsi="Arial"/>
          <w:b w:val="false"/>
          <w:bCs w:val="false"/>
          <w:sz w:val="21"/>
          <w:szCs w:val="21"/>
          <w:rtl/>
        </w:rPr>
        <w:t xml:space="preserve">)، فلا ينحرف عن قاعدة البيانات. الترتيب: أولًا خريطة المخططات، ثم مخطط كل مجموعة، ثم جدول مواصفات الجداول، ثم جدول علاقات كل مفتاح أجنبي.</w:t>
      </w:r>
    </w:p>
    <w:p>
      <w:pPr>
        <w:pStyle w:val="Heading2"/>
        <w:bidi/>
      </w:pPr>
      <w:bookmarkStart w:name="_sec31" w:id="31"/>
      <w:r>
        <w:rPr>
          <w:rFonts w:ascii="Arial" w:cs="Arial" w:eastAsia="Arial" w:hAnsi="Arial"/>
          <w:b/>
          <w:bCs/>
          <w:color w:val="2B5C8A"/>
          <w:sz w:val="26"/>
          <w:szCs w:val="26"/>
          <w:rtl/>
        </w:rPr>
        <w:t xml:space="preserve">10.1 خريطة المخططات (Schema Map)</w:t>
      </w:r>
      <w:bookmarkEnd w:id="31"/>
    </w:p>
    <w:p>
      <w:pPr>
        <w:keepNext/>
        <w:bidi/>
        <w:spacing w:after="60" w:before="160"/>
        <w:jc w:val="center"/>
      </w:pPr>
      <w:r>
        <w:drawing>
          <wp:inline distT="0" distB="0" distL="0" distR="0">
            <wp:extent cx="6096000" cy="2057400"/>
            <wp:effectExtent t="0" r="0" b="0" l="0"/>
            <wp:docPr id="1" name="diagrams/erd/schema_map.png" descr="خريطة المخططات: المخططات والعلاقات بينها (خمسة مفاتيح أجنبية فأكثر)" title="خريطة المخططات: المخططات والعلاقات بينها (خمسة مفاتيح أجنبية فأكث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057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خريطة المخططات: المخططات والعلاقات بينها (خمسة مفاتيح أجنبية فأكثر)</w:t>
      </w:r>
    </w:p>
    <w:p>
      <w:pPr>
        <w:pStyle w:val="Heading2"/>
        <w:bidi/>
      </w:pPr>
      <w:bookmarkStart w:name="_sec32" w:id="32"/>
      <w:r>
        <w:rPr>
          <w:rFonts w:ascii="Arial" w:cs="Arial" w:eastAsia="Arial" w:hAnsi="Arial"/>
          <w:b/>
          <w:bCs/>
          <w:color w:val="2B5C8A"/>
          <w:sz w:val="26"/>
          <w:szCs w:val="26"/>
          <w:rtl/>
        </w:rPr>
        <w:t xml:space="preserve">10.2 قراءة المخططات</w:t>
      </w:r>
      <w:bookmarkEnd w:id="32"/>
    </w:p>
    <w:p>
      <w:pPr>
        <w:bidi/>
        <w:spacing w:after="110" w:before="0" w:line="312"/>
      </w:pPr>
      <w:r>
        <w:rPr>
          <w:rFonts w:ascii="Arial" w:cs="Arial" w:eastAsia="Arial" w:hAnsi="Arial"/>
          <w:b/>
          <w:bCs/>
          <w:sz w:val="21"/>
          <w:szCs w:val="21"/>
          <w:rtl/>
        </w:rPr>
        <w:t xml:space="preserve">مفتاح الرسم (معيار Crow's Foot):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المفتاح الأساسي ·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مفتاح أجنبي · </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فريد. طرف الأب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 واحد إلزامي، وطرف الابن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صفر أو أكثر؛ الاختياري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واحد أو لا شيء. اسم العلاقة = أعمدة الربط.</w:t>
      </w:r>
    </w:p>
    <w:p>
      <w:pPr>
        <w:bidi/>
        <w:spacing w:after="110" w:before="0" w:line="312"/>
      </w:pPr>
      <w:r>
        <w:rPr>
          <w:rFonts w:ascii="Arial" w:cs="Arial" w:eastAsia="Arial" w:hAnsi="Arial"/>
          <w:b w:val="false"/>
          <w:bCs w:val="false"/>
          <w:sz w:val="21"/>
          <w:szCs w:val="21"/>
          <w:rtl/>
        </w:rPr>
        <w:t xml:space="preserve">الإحاطة: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ولم يُرسم هذا الربط في كل مخطط. العلاقات المرسومة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وكل علاقة مكتوبة في جدول العلاقات بإلزامها ونطاقها وسلوك حذفها. أعمدة الإثبات والتدقيق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‎VerifiedBy‎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‎ConflictId‎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‎CreatedBy‎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‎UpdatedBy‎</w:t>
      </w:r>
      <w:r>
        <w:rPr>
          <w:rFonts w:ascii="Arial" w:cs="Arial" w:eastAsia="Arial" w:hAnsi="Arial"/>
          <w:b w:val="false"/>
          <w:bCs w:val="false"/>
          <w:sz w:val="21"/>
          <w:szCs w:val="21"/>
          <w:rtl/>
        </w:rPr>
        <w:t xml:space="preserve">…) لا تُرسم في المخطط لتقليل الازدحام، وترد كاملة في جداول العلاقات. الجداول خارج المجموعة تظهر بمفتاحها فقط.</w:t>
      </w:r>
    </w:p>
    <w:p>
      <w:pPr>
        <w:pStyle w:val="Heading2"/>
        <w:bidi/>
      </w:pPr>
      <w:bookmarkStart w:name="_sec33" w:id="33"/>
      <w:r>
        <w:rPr>
          <w:rFonts w:ascii="Arial" w:cs="Arial" w:eastAsia="Arial" w:hAnsi="Arial"/>
          <w:b/>
          <w:bCs/>
          <w:color w:val="2B5C8A"/>
          <w:sz w:val="26"/>
          <w:szCs w:val="26"/>
          <w:rtl/>
        </w:rPr>
        <w:t xml:space="preserve">10.3 م0 · المنصة والهوية والتدقيق</w:t>
      </w:r>
      <w:bookmarkEnd w:id="33"/>
    </w:p>
    <w:p>
      <w:pPr>
        <w:pStyle w:val="Heading3"/>
        <w:bidi/>
      </w:pPr>
      <w:bookmarkStart w:name="_sec34" w:id="34"/>
      <w:r>
        <w:rPr>
          <w:rFonts w:ascii="Arial" w:cs="Arial" w:eastAsia="Arial" w:hAnsi="Arial"/>
          <w:b/>
          <w:bCs/>
          <w:color w:val="2B5C8A"/>
          <w:sz w:val="23"/>
          <w:szCs w:val="23"/>
          <w:rtl/>
        </w:rPr>
        <w:t xml:space="preserve">م0 · المشترك والاشتراكات والمشغّلون (1/3)</w:t>
      </w:r>
      <w:bookmarkEnd w:id="34"/>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95500"/>
            <wp:effectExtent t="0" r="0" b="0" l="0"/>
            <wp:docPr id="1" name="diagrams/erd/m0_tenancy_1.png" descr="م0 · المشترك والاشتراكات والمشغّلون (1/3)" title="م0 · المشترك والاشتراكات والمشغّل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095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287"/>
        <w:gridCol w:w="1944"/>
        <w:gridCol w:w="836"/>
        <w:gridCol w:w="836"/>
        <w:gridCol w:w="836"/>
        <w:gridCol w:w="836"/>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sessions: 15-minute idle and 8-hour absolute timeout (FR-PLT-006)</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OperatorSessionId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One-time operator set-up links: password and MFA (FR-PLT-006)</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OperatorTokenId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 plan: a bundle of modules and soft limits (FR-PLT-003/004, Q-PLT-11)</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included in a plan (replaces the Plan.IncludedModules JSON column)</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 ModuleCode</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3"/>
        <w:gridCol w:w="2201"/>
        <w:gridCol w:w="882"/>
        <w:gridCol w:w="882"/>
        <w:gridCol w:w="882"/>
        <w:gridCol w:w="882"/>
        <w:gridCol w:w="882"/>
      </w:tblGrid>
      <w:tr>
        <w:trPr>
          <w:cantSplit/>
          <w:tblHeader/>
        </w:trPr>
        <w:tc>
          <w:tcPr>
            <w:tcW w:type="dxa" w:w="3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‎plat.OperatorSession.OperatorId‎</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‎plat.OperatorToken.OperatorId‎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‎plat.OperatorToken.RequestedBy‎</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‎plat.PlanModule.PlanId‎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5" w:id="35"/>
      <w:r>
        <w:rPr>
          <w:rFonts w:ascii="Arial" w:cs="Arial" w:eastAsia="Arial" w:hAnsi="Arial"/>
          <w:b/>
          <w:bCs/>
          <w:color w:val="2B5C8A"/>
          <w:sz w:val="23"/>
          <w:szCs w:val="23"/>
          <w:rtl/>
        </w:rPr>
        <w:t xml:space="preserve">م0 · المشترك والاشتراكات والمشغّلون (2/3)</w:t>
      </w:r>
      <w:bookmarkEnd w:id="35"/>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19300"/>
            <wp:effectExtent t="0" r="0" b="0" l="0"/>
            <wp:docPr id="1" name="diagrams/erd/m0_tenancy_2.png" descr="م0 · المشترك والاشتراكات والمشغّلون (2/3)" title="م0 · المشترك والاشتراكات والمشغّل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0193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1"/>
        <w:gridCol w:w="2226"/>
        <w:gridCol w:w="2023"/>
        <w:gridCol w:w="821"/>
        <w:gridCol w:w="821"/>
        <w:gridCol w:w="821"/>
        <w:gridCol w:w="821"/>
      </w:tblGrid>
      <w:tr>
        <w:trPr>
          <w:cantSplit/>
          <w:tblHeader/>
        </w:trPr>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account: not readable by the tenant application (tp_app); identity store separate from AppUser (FR-PLT-006)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Subdomains reserved for the system: www, admin, api, app and others (FR-PLT-046)</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ReservedSubdomainId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Temporary support access, activated by the tenant's account administrator (FR-PLT-007, BR-PLT-017)</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SupportAccessGrantId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 direct access for the tenant application (it reads its row through plat.v_CurrentTenant); isolation root: the tenant (FR-PLT-001/002/046, BR-PLT-001/002)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‎plat.SupportAccessGrant.OperatorId‎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‎plat.SupportAccessGrant.GrantedBy‎</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‎plat.SupportAccessGrant.RevokedBy‎</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‎plat.Tenant.PlanId‎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‎plat.Tenant.HomeCountryId‎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6" w:id="36"/>
      <w:r>
        <w:rPr>
          <w:rFonts w:ascii="Arial" w:cs="Arial" w:eastAsia="Arial" w:hAnsi="Arial"/>
          <w:b/>
          <w:bCs/>
          <w:color w:val="2B5C8A"/>
          <w:sz w:val="23"/>
          <w:szCs w:val="23"/>
          <w:rtl/>
        </w:rPr>
        <w:t xml:space="preserve">م0 · المشترك والاشتراكات والمشغّلون (3/3)</w:t>
      </w:r>
      <w:bookmarkEnd w:id="36"/>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714625"/>
            <wp:effectExtent t="0" r="0" b="0" l="0"/>
            <wp:docPr id="1" name="diagrams/erd/m0_tenancy_3.png" descr="م0 · المشترك والاشتراكات والمشغّلون (3/3)" title="م0 · المشترك والاشتراكات والمشغّل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7146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4"/>
        <w:gridCol w:w="2006"/>
        <w:gridCol w:w="1984"/>
        <w:gridCol w:w="865"/>
        <w:gridCol w:w="865"/>
        <w:gridCol w:w="865"/>
        <w:gridCol w:w="865"/>
      </w:tblGrid>
      <w:tr>
        <w:trPr>
          <w:cantSplit/>
          <w:tblHeader/>
        </w:trPr>
        <w:tc>
          <w:tcPr>
            <w:tcW w:type="dxa" w:w="2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enabled per tenant; owned by the platform only: written by platform operators, read by the tenant through a restricted view (DR-01)</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TenantModuleId</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2352"/>
        <w:gridCol w:w="897"/>
        <w:gridCol w:w="897"/>
        <w:gridCol w:w="897"/>
        <w:gridCol w:w="897"/>
        <w:gridCol w:w="897"/>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‎plat.TenantModule.TenantId‎</w:t>
            </w:r>
          </w:p>
        </w:tc>
        <w:tc>
          <w:tcPr>
            <w:tcW w:type="dxa" w:w="2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‎plat.TenantModule.EnabledBy‎</w:t>
            </w:r>
          </w:p>
        </w:tc>
        <w:tc>
          <w:tcPr>
            <w:tcW w:type="dxa" w:w="2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م0 · الهوية والصلاحيات (1/2)</w:t>
      </w:r>
      <w:bookmarkEnd w:id="37"/>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95650"/>
            <wp:effectExtent t="0" r="0" b="0" l="0"/>
            <wp:docPr id="1" name="diagrams/erd/m0_identity_1.png" descr="م0 · الهوية والصلاحيات (1/2)" title="م0 · الهوية والصلاحي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295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3153"/>
        <w:gridCol w:w="1350"/>
        <w:gridCol w:w="834"/>
        <w:gridCol w:w="834"/>
        <w:gridCol w:w="834"/>
        <w:gridCol w:w="834"/>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 user (FR-PLT-010..016, BR-PLT-004..006)</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defined by the tenant or seeded (FR-PLT-018)</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 catalogue owned by the platform; a tenant cannot add a permission (FR-PLT-017)</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link; a locked permission goes only to the system roles it names, enforced by sec.TR_RolePermission_Locked (043, BR-PLT-019, DR-16)</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RoleId, PermissionId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9"/>
        <w:gridCol w:w="1506"/>
        <w:gridCol w:w="905"/>
        <w:gridCol w:w="905"/>
        <w:gridCol w:w="905"/>
        <w:gridCol w:w="905"/>
        <w:gridCol w:w="1399"/>
      </w:tblGrid>
      <w:tr>
        <w:trPr>
          <w:cantSplit/>
          <w:tblHeader/>
        </w:trPr>
        <w:tc>
          <w:tcPr>
            <w:tcW w:type="dxa" w:w="3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‎sec.AppUser.DepartmentId‎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‎sec.AppUser.LineManagerUserId‎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MfaKeyPurpose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‎sec.RolePermission.RoleId‎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‎sec.RolePermission.PermissionId‎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‎sec.RolePermission.AssignedBy‎</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م0 · الهوية والصلاحيات (2/2)</w:t>
      </w:r>
      <w:bookmarkEnd w:id="38"/>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914400"/>
            <wp:effectExtent t="0" r="0" b="0" l="0"/>
            <wp:docPr id="1" name="diagrams/erd/m0_identity_2.png" descr="م0 · الهوية والصلاحيات (2/2)" title="م0 · الهوية والصلاحي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914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User–role link; permissions are the union of the roles (BR-PLT-007, FR-PLT-018)</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RoleId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a user can see; ignored when CompanyScopeMode = ALL (FR-PLT-020)</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CompanyId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an external OIDC or Entra identity and a user; readiness only (FR-PLT-015, section 11)</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ExternalIdentityId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9"/>
        <w:gridCol w:w="1400"/>
        <w:gridCol w:w="929"/>
        <w:gridCol w:w="929"/>
        <w:gridCol w:w="929"/>
        <w:gridCol w:w="929"/>
        <w:gridCol w:w="929"/>
      </w:tblGrid>
      <w:tr>
        <w:trPr>
          <w:cantSplit/>
          <w:tblHeader/>
        </w:trPr>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‎sec.UserRole.UserId‎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‎sec.UserRole.RoleId‎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‎sec.UserRole.AssignedBy‎</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‎sec.UserCompanyScope.CompanyId‎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 w:id="39"/>
      <w:r>
        <w:rPr>
          <w:rFonts w:ascii="Arial" w:cs="Arial" w:eastAsia="Arial" w:hAnsi="Arial"/>
          <w:b/>
          <w:bCs/>
          <w:color w:val="2B5C8A"/>
          <w:sz w:val="23"/>
          <w:szCs w:val="23"/>
          <w:rtl/>
        </w:rPr>
        <w:t xml:space="preserve">م0 · الجلسات والمفاتيح والمحاولات (1/2)</w:t>
      </w:r>
      <w:bookmarkEnd w:id="39"/>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0_sessions_1.png" descr="م0 · الجلسات والمفاتيح والمحاولات (1/2)" title="م0 · الجلسات والمفاتيح والمحاول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687"/>
        <w:gridCol w:w="1825"/>
        <w:gridCol w:w="828"/>
        <w:gridCol w:w="828"/>
        <w:gridCol w:w="828"/>
        <w:gridCol w:w="828"/>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sessions: 30-minute idle timeout and 12-hour absolute timeout (FR-PLT-014)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UserSessionId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 attempts for rate limiting and lockout windows (BR-PLT-005); written by sec.usp_StartSession. A permanent trace in aud.AuditLog is not written yet (O-24)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LoginAttemptId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 single-use recovery codes, stored hashed (FR-PLT-011, BR-PLT-006); replaces the AppUser.RecoveryCodesHash JSON</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MfaRecoveryCodeId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Single-use invitation link (48 hours), password-reset token (30 minutes) or MFA re-enrolment link (24 hours) (FR-PLT-013, DQ-F03-8)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UserTokenId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373"/>
        <w:gridCol w:w="924"/>
        <w:gridCol w:w="924"/>
        <w:gridCol w:w="924"/>
        <w:gridCol w:w="924"/>
        <w:gridCol w:w="924"/>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‎sec.UserSession.EndedBy‎</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‎sec.UserToken.RequestedByUserId‎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 w:id="40"/>
      <w:r>
        <w:rPr>
          <w:rFonts w:ascii="Arial" w:cs="Arial" w:eastAsia="Arial" w:hAnsi="Arial"/>
          <w:b/>
          <w:bCs/>
          <w:color w:val="2B5C8A"/>
          <w:sz w:val="23"/>
          <w:szCs w:val="23"/>
          <w:rtl/>
        </w:rPr>
        <w:t xml:space="preserve">م0 · الجلسات والمفاتيح والمحاولات (2/2)</w:t>
      </w:r>
      <w:bookmarkEnd w:id="40"/>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2857500"/>
            <wp:effectExtent t="0" r="0" b="0" l="0"/>
            <wp:docPr id="1" name="diagrams/erd/m0_sessions_2.png" descr="م0 · الجلسات والمفاتيح والمحاولات (2/2)" title="م0 · الجلسات والمفاتيح والمحاول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2857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75"/>
        <w:gridCol w:w="1404"/>
        <w:gridCol w:w="2437"/>
        <w:gridCol w:w="837"/>
        <w:gridCol w:w="837"/>
        <w:gridCol w:w="837"/>
        <w:gridCol w:w="837"/>
      </w:tblGrid>
      <w:tr>
        <w:trPr>
          <w:cantSplit/>
          <w:tblHeader/>
        </w:trPr>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five passwords, to prevent reuse (BR-PLT-004)</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UserPasswordHistoryId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key register; each key is wrapped by a master key held outside the database (FR-PLT-037, BR-PLT-015)</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TenantKeyId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event log: create, rotate and revoke (FR-PLT-037; high severity BR-PLT-009)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KeyEventId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77"/>
        <w:gridCol w:w="1592"/>
        <w:gridCol w:w="919"/>
        <w:gridCol w:w="919"/>
        <w:gridCol w:w="919"/>
        <w:gridCol w:w="919"/>
        <w:gridCol w:w="919"/>
      </w:tblGrid>
      <w:tr>
        <w:trPr>
          <w:cantSplit/>
          <w:tblHeader/>
        </w:trPr>
        <w:tc>
          <w:tcPr>
            <w:tcW w:type="dxa" w:w="3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‎sec.UserPasswordHistory.UserId‎</w:t>
            </w:r>
          </w:p>
        </w:tc>
        <w:tc>
          <w:tcPr>
            <w:tcW w:type="dxa" w:w="1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‎sec.KeyEvent.TenantKeyId‎</w:t>
            </w:r>
          </w:p>
        </w:tc>
        <w:tc>
          <w:tcPr>
            <w:tcW w:type="dxa" w:w="1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 w:id="41"/>
      <w:r>
        <w:rPr>
          <w:rFonts w:ascii="Arial" w:cs="Arial" w:eastAsia="Arial" w:hAnsi="Arial"/>
          <w:b/>
          <w:bCs/>
          <w:color w:val="2B5C8A"/>
          <w:sz w:val="23"/>
          <w:szCs w:val="23"/>
          <w:rtl/>
        </w:rPr>
        <w:t xml:space="preserve">م0 · التدقيق والمستندات (1/2)</w:t>
      </w:r>
      <w:bookmarkEnd w:id="41"/>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09975"/>
            <wp:effectExtent t="0" r="0" b="0" l="0"/>
            <wp:docPr id="1" name="diagrams/erd/m0_audit_docs_1.png" descr="م0 · التدقيق والمستندات (1/2)" title="م0 · التدقيق والمستن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609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5"/>
        <w:gridCol w:w="2040"/>
        <w:gridCol w:w="2147"/>
        <w:gridCol w:w="828"/>
        <w:gridCol w:w="828"/>
        <w:gridCol w:w="828"/>
        <w:gridCol w:w="828"/>
      </w:tblGrid>
      <w:tr>
        <w:trPr>
          <w:cantSplit/>
          <w:tblHeader/>
        </w:trPr>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audit log; NULL TenantId = platform event, not visible to any tenant; dedicated RLS policy (BR-PLT-001, BR-PLT-009)</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Access log for sensitive data: identity reveals, image views, exports and restricted downloads; flags anomalies above 20 per hour (BR-PTY-009)</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SensitiveAccessLogId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Logical document: document data and status; the file itself is in doc.DocumentVersion (FR-PLT-027/028, BR-PLT-011)</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any entity with a role and a reference page; unlinking is logical (FR-PLT-028)</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7"/>
        <w:gridCol w:w="2013"/>
        <w:gridCol w:w="884"/>
        <w:gridCol w:w="884"/>
        <w:gridCol w:w="884"/>
        <w:gridCol w:w="884"/>
        <w:gridCol w:w="958"/>
      </w:tblGrid>
      <w:tr>
        <w:trPr>
          <w:cantSplit/>
          <w:tblHeader/>
        </w:trPr>
        <w:tc>
          <w:tcPr>
            <w:tcW w:type="dxa" w:w="3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‎aud.SensitiveAccessLog.ActorUserId‎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‎aud.SensitiveAccessLog.OperatorId‎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‎doc.Document.DocumentTypeId‎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‎doc.Document.OwnerCompanyId‎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‎doc.Document.CurrentVersionId‎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‎doc.Document.SupersededByDocumentId‎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‎doc.Document.DeletedBy‎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‎doc.DocumentLink.UnlinkedBy‎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م0 · التدقيق والمستندات (2/2)</w:t>
      </w:r>
      <w:bookmarkEnd w:id="42"/>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190875"/>
            <wp:effectExtent t="0" r="0" b="0" l="0"/>
            <wp:docPr id="1" name="diagrams/erd/m0_audit_docs_2.png" descr="م0 · التدقيق والمستندات (2/2)" title="م0 · التدقيق والمستن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190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6"/>
        <w:gridCol w:w="1912"/>
        <w:gridCol w:w="2150"/>
        <w:gridCol w:w="849"/>
        <w:gridCol w:w="849"/>
        <w:gridCol w:w="849"/>
        <w:gridCol w:w="849"/>
      </w:tblGrid>
      <w:tr>
        <w:trPr>
          <w:cantSplit/>
          <w:tblHeader/>
        </w:trPr>
        <w:tc>
          <w:tcPr>
            <w:tcW w:type="dxa" w:w="2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1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Immutable file version; a change creates a new version: the application may update only the scan and integrity columns (043, FR-PLT-027, BR-PLT-011, DR-11)</w:t>
            </w:r>
          </w:p>
        </w:tc>
        <w:tc>
          <w:tcPr>
            <w:tcW w:type="dxa" w:w="21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515"/>
        <w:gridCol w:w="921"/>
        <w:gridCol w:w="921"/>
        <w:gridCol w:w="921"/>
        <w:gridCol w:w="921"/>
        <w:gridCol w:w="116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‎doc.DocumentVersion.DocumentId‎</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‎doc.DocumentVersion.KeyId‎</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KeyPurpose</w:t>
            </w:r>
          </w:p>
        </w:tc>
      </w:tr>
    </w:tbl>
    <w:p>
      <w:pPr>
        <w:bidi/>
        <w:spacing w:after="120" w:before="0"/>
      </w:pPr>
    </w:p>
    <w:p>
      <w:pPr>
        <w:pStyle w:val="Heading3"/>
        <w:bidi/>
      </w:pPr>
      <w:bookmarkStart w:name="_sec43" w:id="43"/>
      <w:r>
        <w:rPr>
          <w:rFonts w:ascii="Arial" w:cs="Arial" w:eastAsia="Arial" w:hAnsi="Arial"/>
          <w:b/>
          <w:bCs/>
          <w:color w:val="2B5C8A"/>
          <w:sz w:val="23"/>
          <w:szCs w:val="23"/>
          <w:rtl/>
        </w:rPr>
        <w:t xml:space="preserve">م0 · الإعدادات والمهام الخلفية (1/4)</w:t>
      </w:r>
      <w:bookmarkEnd w:id="43"/>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819400"/>
            <wp:effectExtent t="0" r="0" b="0" l="0"/>
            <wp:docPr id="1" name="diagrams/erd/m0_config_1.png" descr="م0 · الإعدادات والمهام الخلفية (1/4)" title="م0 · الإعدادات والمهام الخلفي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819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1"/>
        <w:gridCol w:w="1911"/>
        <w:gridCol w:w="2026"/>
        <w:gridCol w:w="834"/>
        <w:gridCol w:w="834"/>
        <w:gridCol w:w="834"/>
        <w:gridCol w:w="834"/>
      </w:tblGrid>
      <w:tr>
        <w:trPr>
          <w:cantSplit/>
          <w:tblHeader/>
        </w:trPr>
        <w:tc>
          <w:tcPr>
            <w:tcW w:type="dxa" w:w="25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data export request (FR-PLT-039, BR-PLT-016)</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 of sent expiry alerts: one event per (item, threshold), never repeated on the same day (FR-PLT-038)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ExpiryAlertLogId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 alert rule per item type (FR-PLT-038, BR-PLT-013)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that receive an alert rule's alerts, within the company scope; replaces the RecipientRoles code list, so a renamed or missing role cannot silently receive nothing (FR-PLT-038, DR-16)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ExpiryAlertRuleId, 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4"/>
        <w:gridCol w:w="1765"/>
        <w:gridCol w:w="857"/>
        <w:gridCol w:w="857"/>
        <w:gridCol w:w="857"/>
        <w:gridCol w:w="857"/>
        <w:gridCol w:w="857"/>
      </w:tblGrid>
      <w:tr>
        <w:trPr>
          <w:cantSplit/>
          <w:tblHeader/>
        </w:trPr>
        <w:tc>
          <w:tcPr>
            <w:tcW w:type="dxa" w:w="3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‎cfg.DataExportJob.RequestedBy‎</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‎cfg.ExpiryAlertLog.ExpiryAlertRuleId‎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‎cfg.ExpiryAlertRuleRole.ExpiryAlertRuleId‎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‎cfg.ExpiryAlertRuleRole.RoleId‎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4" w:id="44"/>
      <w:r>
        <w:rPr>
          <w:rFonts w:ascii="Arial" w:cs="Arial" w:eastAsia="Arial" w:hAnsi="Arial"/>
          <w:b/>
          <w:bCs/>
          <w:color w:val="2B5C8A"/>
          <w:sz w:val="23"/>
          <w:szCs w:val="23"/>
          <w:rtl/>
        </w:rPr>
        <w:t xml:space="preserve">م0 · الإعدادات والمهام الخلفية (2/4)</w:t>
      </w:r>
      <w:bookmarkEnd w:id="44"/>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5800"/>
            <wp:effectExtent t="0" r="0" b="0" l="0"/>
            <wp:docPr id="1" name="diagrams/erd/m0_config_2.png" descr="م0 · الإعدادات والمهام الخلفية (2/4)" title="م0 · الإعدادات والمهام الخلفية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85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(2/4)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20"/>
        <w:gridCol w:w="1848"/>
        <w:gridCol w:w="2132"/>
        <w:gridCol w:w="866"/>
        <w:gridCol w:w="866"/>
        <w:gridCol w:w="866"/>
        <w:gridCol w:w="866"/>
      </w:tblGrid>
      <w:tr>
        <w:trPr>
          <w:cantSplit/>
          <w:tblHeader/>
        </w:trPr>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‎cfg.JobDefinition‎</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catalogue: the only JobKey values a job connection may bind with (FR-PLT-044)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JobDefinitionId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run log: last run, duration and result, visible to the account administrator (FR-PLT-044)</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JobRunId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 day; NULL TenantId = platform holiday, read-only (FR-PLT-035, BR-PLT-014)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document numbers; a cancelled number is never reused (FR-PLT-026, BR-PLT-010)</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4"/>
        <w:gridCol w:w="2125"/>
        <w:gridCol w:w="909"/>
        <w:gridCol w:w="909"/>
        <w:gridCol w:w="909"/>
        <w:gridCol w:w="909"/>
        <w:gridCol w:w="909"/>
      </w:tblGrid>
      <w:tr>
        <w:trPr>
          <w:cantSplit/>
          <w:tblHeader/>
        </w:trPr>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‎cfg.NonWorkingDay.CountryId‎</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‎cfg.NumberIssue.SequenceId‎</w:t>
            </w:r>
          </w:p>
        </w:tc>
        <w:tc>
          <w:tcPr>
            <w:tcW w:type="dxa" w:w="2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‎cfg.NumberIssue.VoidedBy‎</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م0 · الإعدادات والمهام الخلفية (3/4)</w:t>
      </w:r>
      <w:bookmarkEnd w:id="45"/>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81175"/>
            <wp:effectExtent t="0" r="0" b="0" l="0"/>
            <wp:docPr id="1" name="diagrams/erd/m0_config_3.png" descr="م0 · الإعدادات والمهام الخلفية (3/4)" title="م0 · الإعدادات والمهام الخلفية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781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(3/4)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9"/>
        <w:gridCol w:w="1791"/>
        <w:gridCol w:w="2328"/>
        <w:gridCol w:w="809"/>
        <w:gridCol w:w="809"/>
        <w:gridCol w:w="809"/>
        <w:gridCol w:w="809"/>
      </w:tblGrid>
      <w:tr>
        <w:trPr>
          <w:cantSplit/>
          <w:tblHeader/>
        </w:trPr>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 per (definition, optional company, period); its row is locked on allocation inside the caller's transaction (BR-PLT-010)</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Numbering-type definition with a tag-based format, for example {seq:000}-{erp}-{yy} (FR-PLT-026)</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Outbound queue with at-least-once delivery; the payload carries identifiers without restricted data; only DELIVERED events may be deleted (043, FR-PLT-042, DR-14)</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OutboxEventId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‎cfg.SeedRun‎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Numbered seed-run log per package; re-running a seed adds nothing (FR-PLT-008)</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SeedRunId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5"/>
        <w:gridCol w:w="2639"/>
        <w:gridCol w:w="860"/>
        <w:gridCol w:w="860"/>
        <w:gridCol w:w="860"/>
        <w:gridCol w:w="860"/>
        <w:gridCol w:w="860"/>
      </w:tblGrid>
      <w:tr>
        <w:trPr>
          <w:cantSplit/>
          <w:tblHeader/>
        </w:trPr>
        <w:tc>
          <w:tcPr>
            <w:tcW w:type="dxa" w:w="2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‎cfg.NumberSequence.DefinitionId‎</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‎cfg.NumberSequence.CompanyId‎</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6" w:id="46"/>
      <w:r>
        <w:rPr>
          <w:rFonts w:ascii="Arial" w:cs="Arial" w:eastAsia="Arial" w:hAnsi="Arial"/>
          <w:b/>
          <w:bCs/>
          <w:color w:val="2B5C8A"/>
          <w:sz w:val="23"/>
          <w:szCs w:val="23"/>
          <w:rtl/>
        </w:rPr>
        <w:t xml:space="preserve">م0 · الإعدادات والمهام الخلفية (4/4)</w:t>
      </w:r>
      <w:bookmarkEnd w:id="46"/>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800100"/>
            <wp:effectExtent t="0" r="0" b="0" l="0"/>
            <wp:docPr id="1" name="diagrams/erd/m0_config_4.png" descr="م0 · الإعدادات والمهام الخلفية (4/4)" title="م0 · الإعدادات والمهام الخلفية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(4/4)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7"/>
        <w:gridCol w:w="1494"/>
        <w:gridCol w:w="2365"/>
        <w:gridCol w:w="847"/>
        <w:gridCol w:w="847"/>
        <w:gridCol w:w="847"/>
        <w:gridCol w:w="847"/>
      </w:tblGrid>
      <w:tr>
        <w:trPr>
          <w:cantSplit/>
          <w:tblHeader/>
        </w:trPr>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‎cfg.SettingDefinition‎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Setting-key definition with platform minimum and maximum bounds (BR-PLT-018, FR-PLT-043)</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SettingDefinitionId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settings: security policies, timeouts, thresholds, and work start and end times (FR-PLT-043)</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10.4 م1 · الهيكل المؤسسي والأشخاص</w:t>
      </w:r>
      <w:bookmarkEnd w:id="47"/>
    </w:p>
    <w:p>
      <w:pPr>
        <w:pStyle w:val="Heading3"/>
        <w:bidi/>
      </w:pPr>
      <w:bookmarkStart w:name="_sec48" w:id="48"/>
      <w:r>
        <w:rPr>
          <w:rFonts w:ascii="Arial" w:cs="Arial" w:eastAsia="Arial" w:hAnsi="Arial"/>
          <w:b/>
          <w:bCs/>
          <w:color w:val="2B5C8A"/>
          <w:sz w:val="23"/>
          <w:szCs w:val="23"/>
          <w:rtl/>
        </w:rPr>
        <w:t xml:space="preserve">م1 · الشركات والحوكمة (1/2)</w:t>
      </w:r>
      <w:bookmarkEnd w:id="48"/>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00450"/>
            <wp:effectExtent t="0" r="0" b="0" l="0"/>
            <wp:docPr id="1" name="diagrams/erd/m1_company_1.png" descr="م1 · الشركات والحوكمة (1/2)" title="م1 · الشركات والحوكم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600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root of the corporate structure (FR-ORG-001..010, BR-ORG-001..004)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rate with an effective date; NULL CompanyId = tenant default (FR-ORG-007, BR-ORG-005)</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(FR-ORG-014, BR-ORG-016, Q-ORG-09): at tenant level, optionally per company</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Ownership interest with an effective date; the owner is a Party, an individual or an entity (FR-ORG-015..018, BR-ORG-006..008, G-7)</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2"/>
        <w:gridCol w:w="1872"/>
        <w:gridCol w:w="888"/>
        <w:gridCol w:w="888"/>
        <w:gridCol w:w="888"/>
        <w:gridCol w:w="888"/>
        <w:gridCol w:w="888"/>
      </w:tblGrid>
      <w:tr>
        <w:trPr>
          <w:cantSplit/>
          <w:tblHeader/>
        </w:trPr>
        <w:tc>
          <w:tcPr>
            <w:tcW w:type="dxa" w:w="3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PartyKind</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‎org.Company.LegalEntityTypeId‎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‎org.Company.ParentCompanyId‎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‎org.Company.CountryId‎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‎org.Company.BaseCurrencyId‎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‎org.CompanyTaxRate.CompanyId‎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‎org.Department.ParentDepartmentId‎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‎org.Department.HeadUserId‎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‎org.Shareholding.CompanyId‎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‎org.Shareholding.HolderPartyId‎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‎org.Shareholding.CurrencyId‎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‎org.Shareholding.IntermediatePartyId‎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‎org.Shareholding.SourceDocumentId‎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 w:id="49"/>
      <w:r>
        <w:rPr>
          <w:rFonts w:ascii="Arial" w:cs="Arial" w:eastAsia="Arial" w:hAnsi="Arial"/>
          <w:b/>
          <w:bCs/>
          <w:color w:val="2B5C8A"/>
          <w:sz w:val="23"/>
          <w:szCs w:val="23"/>
          <w:rtl/>
        </w:rPr>
        <w:t xml:space="preserve">م1 · الشركات والحوكمة (2/2)</w:t>
      </w:r>
      <w:bookmarkEnd w:id="49"/>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228975" cy="8191500"/>
            <wp:effectExtent t="0" r="0" b="0" l="0"/>
            <wp:docPr id="1" name="diagrams/erd/m1_company_2.png" descr="م1 · الشركات والحوكمة (2/2)" title="م1 · الشركات والحوكم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289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(FR-ORG-019, BR-ORG-009)</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Membership of a governing body (FR-ORG-020, FR-ORG-021, BR-ORG-010)</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 to a company (FR-ORG-023..028, BR-ORG-011..014)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2"/>
        <w:gridCol w:w="1799"/>
        <w:gridCol w:w="891"/>
        <w:gridCol w:w="891"/>
        <w:gridCol w:w="891"/>
        <w:gridCol w:w="891"/>
        <w:gridCol w:w="899"/>
      </w:tblGrid>
      <w:tr>
        <w:trPr>
          <w:cantSplit/>
          <w:tblHeader/>
        </w:trPr>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‎org.GoverningBody.SourceDocumentId‎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‎org.BodyMember.PositionId‎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‎org.BodyMember.RepresentedPartyId‎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‎org.BodyMember.AppointmentDocumentId‎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‎org.AuthorityGrant.BodyMemberId‎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‎org.AuthorityGrant.PartyId‎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‎org.AuthorityGrant.PowerTypeId‎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‎org.AuthorityGrant.InstitutionId‎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‎org.AuthorityGrant.CeilingCurrencyId‎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‎org.AuthorityGrant.SourceDocumentId‎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‎org.AuthorityGrant.SupersedesGrantId‎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م1 · ملف الشركة و KYC (1/2)</w:t>
      </w:r>
      <w:bookmarkEnd w:id="50"/>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05050"/>
            <wp:effectExtent t="0" r="0" b="0" l="0"/>
            <wp:docPr id="1" name="diagrams/erd/m1_company_kyc_1.png" descr="م1 · ملف الشركة و KYC (1/2)" title="م1 · ملف الشركة و KY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305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12"/>
        <w:gridCol w:w="969"/>
        <w:gridCol w:w="2715"/>
        <w:gridCol w:w="817"/>
        <w:gridCol w:w="817"/>
        <w:gridCol w:w="817"/>
        <w:gridCol w:w="817"/>
      </w:tblGrid>
      <w:tr>
        <w:trPr>
          <w:cantSplit/>
          <w:tblHeader/>
        </w:trPr>
        <w:tc>
          <w:tcPr>
            <w:tcW w:type="dxa" w:w="2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profile, 1:1 (G-1)</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Branch, warehouse or subsidiary outside the account, held as text (G-3)</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CompanyBranchId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financial profile with an effective date: revenue band and purpose (G-4)</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CompanyKycFinancialProfileId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expected cash-flow matrix (CTP): direction x five items (G-4)</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CompanyExpectedFlowId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4"/>
        <w:gridCol w:w="2220"/>
        <w:gridCol w:w="818"/>
        <w:gridCol w:w="818"/>
        <w:gridCol w:w="818"/>
        <w:gridCol w:w="818"/>
        <w:gridCol w:w="818"/>
      </w:tblGrid>
      <w:tr>
        <w:trPr>
          <w:cantSplit/>
          <w:tblHeader/>
        </w:trPr>
        <w:tc>
          <w:tcPr>
            <w:tcW w:type="dxa" w:w="35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‎org.CompanyProfile.HeadquartersCountryId‎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‎org.CompanyProfile.SectorId‎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‎org.CompanyProfile.EmployeeBandId‎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‎org.CompanyKycFinancialProfile.RevenueBandId‎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‎org.CompanyKycFinancialProfile.AccountCurrencyId‎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‎org.CompanyExpectedFlow.FinancialProfileId‎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1" w:id="51"/>
      <w:r>
        <w:rPr>
          <w:rFonts w:ascii="Arial" w:cs="Arial" w:eastAsia="Arial" w:hAnsi="Arial"/>
          <w:b/>
          <w:bCs/>
          <w:color w:val="2B5C8A"/>
          <w:sz w:val="23"/>
          <w:szCs w:val="23"/>
          <w:rtl/>
        </w:rPr>
        <w:t xml:space="preserve">م1 · ملف الشركة و KYC (2/2)</w:t>
      </w:r>
      <w:bookmarkEnd w:id="51"/>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800100"/>
            <wp:effectExtent t="0" r="0" b="0" l="0"/>
            <wp:docPr id="1" name="diagrams/erd/m1_company_kyc_2.png" descr="م1 · ملف الشركة و KYC (2/2)" title="م1 · ملف الشركة و KY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32"/>
        <w:gridCol w:w="1601"/>
        <w:gridCol w:w="2287"/>
        <w:gridCol w:w="836"/>
        <w:gridCol w:w="836"/>
        <w:gridCol w:w="836"/>
        <w:gridCol w:w="836"/>
      </w:tblGrid>
      <w:tr>
        <w:trPr>
          <w:cantSplit/>
          <w:tblHeader/>
        </w:trPr>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Sources of funds and wealth: multiple-value list (G-4)</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FinancialProfileId, WealthSourceId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w:t>
            </w:r>
          </w:p>
        </w:tc>
        <w:tc>
          <w:tcPr>
            <w:tcW w:type="dxa" w:w="1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disclosures (G-5)</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CompanyDisclosureId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relations: auditors, legal counsel, regulators, and major customers and suppliers (G-6)</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CompanyKeyRelationId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7"/>
        <w:gridCol w:w="2382"/>
        <w:gridCol w:w="829"/>
        <w:gridCol w:w="829"/>
        <w:gridCol w:w="829"/>
        <w:gridCol w:w="829"/>
        <w:gridCol w:w="829"/>
      </w:tblGrid>
      <w:tr>
        <w:trPr>
          <w:cantSplit/>
          <w:tblHeader/>
        </w:trPr>
        <w:tc>
          <w:tcPr>
            <w:tcW w:type="dxa" w:w="3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‎org.CompanyWealthSource.FinancialProfileId‎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‎org.CompanyWealthSource.WealthSourceId‎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‎org.CompanyDisclosure.SourceDocumentId‎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2" w:id="52"/>
      <w:r>
        <w:rPr>
          <w:rFonts w:ascii="Arial" w:cs="Arial" w:eastAsia="Arial" w:hAnsi="Arial"/>
          <w:b/>
          <w:bCs/>
          <w:color w:val="2B5C8A"/>
          <w:sz w:val="23"/>
          <w:szCs w:val="23"/>
          <w:rtl/>
        </w:rPr>
        <w:t xml:space="preserve">م1 · الأشخاص والهوية و KYC (1/3)</w:t>
      </w:r>
      <w:bookmarkEnd w:id="52"/>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71650"/>
            <wp:effectExtent t="0" r="0" b="0" l="0"/>
            <wp:docPr id="1" name="diagrams/erd/m1_party_1.png" descr="م1 · الأشخاص والهوية و KYC (1/3)" title="م1 · الأشخاص والهوية و KY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1771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3"/>
        <w:gridCol w:w="1720"/>
        <w:gridCol w:w="2327"/>
        <w:gridCol w:w="821"/>
        <w:gridCol w:w="821"/>
        <w:gridCol w:w="821"/>
        <w:gridCol w:w="821"/>
      </w:tblGrid>
      <w:tr>
        <w:trPr>
          <w:cantSplit/>
          <w:tblHeader/>
        </w:trPr>
        <w:tc>
          <w:tcPr>
            <w:tcW w:type="dxa" w:w="2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Postal address with an exclusive owner arc: exactly one of Party, Institution, Unit or Contact (FR-PTY-011, BR-PTY-015)</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method (phone, e-mail and similar) with an exclusive owner arc, as for addresses (FR-PTY-012, BR-PTY-015)</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 field definition (FR-PTY-013, BR-PTY-014)</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the number is encrypted and images are restricted documents (FR-PTY-004..009, FR-PTY-020..022, BR-PTY-002..008)</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1749"/>
        <w:gridCol w:w="869"/>
        <w:gridCol w:w="869"/>
        <w:gridCol w:w="869"/>
        <w:gridCol w:w="869"/>
        <w:gridCol w:w="122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‎pty.Address.UnitId‎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‎pty.Address.ContactId‎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‎pty.Address.CountryId‎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‎pty.ContactMethod.UnitId‎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‎pty.ContactMethod.ContactId‎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‎pty.IdentityDocument.IssuingCountryId‎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‎pty.IdentityDocument.EncKeyId‎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‎pty.IdentityDocument.HashKeyId‎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3" w:id="53"/>
      <w:r>
        <w:rPr>
          <w:rFonts w:ascii="Arial" w:cs="Arial" w:eastAsia="Arial" w:hAnsi="Arial"/>
          <w:b/>
          <w:bCs/>
          <w:color w:val="2B5C8A"/>
          <w:sz w:val="23"/>
          <w:szCs w:val="23"/>
          <w:rtl/>
        </w:rPr>
        <w:t xml:space="preserve">م1 · الأشخاص والهوية و KYC (2/3)</w:t>
      </w:r>
      <w:bookmarkEnd w:id="53"/>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924550"/>
            <wp:effectExtent t="0" r="0" b="0" l="0"/>
            <wp:docPr id="1" name="diagrams/erd/m1_party_2.png" descr="م1 · الأشخاص والهوية و KYC (2/3)" title="م1 · الأشخاص والهوية و KY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5924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2"/>
        <w:gridCol w:w="1825"/>
        <w:gridCol w:w="1825"/>
        <w:gridCol w:w="828"/>
        <w:gridCol w:w="828"/>
        <w:gridCol w:w="828"/>
        <w:gridCol w:w="828"/>
      </w:tblGrid>
      <w:tr>
        <w:trPr>
          <w:cantSplit/>
          <w:tblHeader/>
        </w:trPr>
        <w:tc>
          <w:tcPr>
            <w:tcW w:type="dxa" w:w="29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completeness checklist per bank and role (FR-PTY-023, BR-PTY-012..013, G-8, G-14)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Completeness item (FR-PTY-023, FR-PTY-024, G-14)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Conditions for an item to apply, by legal form; no rows = applies to all (G-15)</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KycProfileItemId, LegalEntityTypeId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or entity; no stored role (FR-PTY-001..003, BR-PTY-001..004, BR-PTY-016..018)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3"/>
        <w:gridCol w:w="1656"/>
        <w:gridCol w:w="857"/>
        <w:gridCol w:w="857"/>
        <w:gridCol w:w="857"/>
        <w:gridCol w:w="857"/>
        <w:gridCol w:w="857"/>
      </w:tblGrid>
      <w:tr>
        <w:trPr>
          <w:cantSplit/>
          <w:tblHeader/>
        </w:trPr>
        <w:tc>
          <w:tcPr>
            <w:tcW w:type="dxa" w:w="39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‎pty.KycProfile.SourceDocumentId‎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‎pty.KycProfileItem.ProfileId‎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‎pty.KycProfileItemLegalForm.KycProfileItemId‎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‎pty.KycProfileItemLegalForm.LegalEntityTypeId‎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‎pty.Party.CountryId‎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‎pty.Party.BirthCountryId‎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‎pty.Party.EducationLevelId‎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‎pty.Party.MergedIntoPartyId‎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4" w:id="54"/>
      <w:r>
        <w:rPr>
          <w:rFonts w:ascii="Arial" w:cs="Arial" w:eastAsia="Arial" w:hAnsi="Arial"/>
          <w:b/>
          <w:bCs/>
          <w:color w:val="2B5C8A"/>
          <w:sz w:val="23"/>
          <w:szCs w:val="23"/>
          <w:rtl/>
        </w:rPr>
        <w:t xml:space="preserve">م1 · الأشخاص والهوية و KYC (3/3)</w:t>
      </w:r>
      <w:bookmarkEnd w:id="54"/>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9675"/>
            <wp:effectExtent t="0" r="0" b="0" l="0"/>
            <wp:docPr id="1" name="diagrams/erd/m1_party_3.png" descr="م1 · الأشخاص والهوية و KYC (3/3)" title="م1 · الأشخاص والهوية و KYC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1209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1"/>
        <w:gridCol w:w="1835"/>
        <w:gridCol w:w="2202"/>
        <w:gridCol w:w="844"/>
        <w:gridCol w:w="844"/>
        <w:gridCol w:w="844"/>
        <w:gridCol w:w="844"/>
      </w:tblGrid>
      <w:tr>
        <w:trPr>
          <w:cantSplit/>
          <w:tblHeader/>
        </w:trPr>
        <w:tc>
          <w:tcPr>
            <w:tcW w:type="dxa" w:w="2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Dated compliance declarations per person in their capacity: PEP, sanctions, investigations, immunity (G-9)</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PartyComplianceId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 value for a party (FR-PTY-013, FR-PTY-014)</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PartyCustomFieldId</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identity and FATCA/CRS tax declaration (G-13)</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TaxIdentityId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61"/>
        <w:gridCol w:w="2134"/>
        <w:gridCol w:w="865"/>
        <w:gridCol w:w="865"/>
        <w:gridCol w:w="865"/>
        <w:gridCol w:w="865"/>
        <w:gridCol w:w="1109"/>
      </w:tblGrid>
      <w:tr>
        <w:trPr>
          <w:cantSplit/>
          <w:tblHeader/>
        </w:trPr>
        <w:tc>
          <w:tcPr>
            <w:tcW w:type="dxa" w:w="3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‎pty.PartyCompliance.PartyId‎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‎pty.PartyCompliance.CompanyId‎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‎pty.PartyCompliance.SourceDocumentId‎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‎pty.PartyCustomField.DefinitionId‎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‎pty.PartyCustomField.EncKeyId‎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‎pty.PartyCustomField.CurrencyId‎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‎pty.TaxIdentity.CountryId‎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‎pty.TaxIdentity.FatcaClassificationId‎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‎pty.TaxIdentity.CrsClassificationId‎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‎pty.TaxIdentity.SourceDocumentId‎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5" w:id="55"/>
      <w:r>
        <w:rPr>
          <w:rFonts w:ascii="Arial" w:cs="Arial" w:eastAsia="Arial" w:hAnsi="Arial"/>
          <w:b/>
          <w:bCs/>
          <w:color w:val="2B5C8A"/>
          <w:sz w:val="26"/>
          <w:szCs w:val="26"/>
          <w:rtl/>
        </w:rPr>
        <w:t xml:space="preserve">10.5 م2–م3 · الجهات المالية والحسابات</w:t>
      </w:r>
      <w:bookmarkEnd w:id="55"/>
    </w:p>
    <w:p>
      <w:pPr>
        <w:pStyle w:val="Heading3"/>
        <w:bidi/>
      </w:pPr>
      <w:bookmarkStart w:name="_sec56" w:id="56"/>
      <w:r>
        <w:rPr>
          <w:rFonts w:ascii="Arial" w:cs="Arial" w:eastAsia="Arial" w:hAnsi="Arial"/>
          <w:b/>
          <w:bCs/>
          <w:color w:val="2B5C8A"/>
          <w:sz w:val="23"/>
          <w:szCs w:val="23"/>
          <w:rtl/>
        </w:rPr>
        <w:t xml:space="preserve">م2–م3 · الجهات المالية والحسابات والمفوّضون (1/3)</w:t>
      </w:r>
      <w:bookmarkEnd w:id="56"/>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0"/>
            <wp:effectExtent t="0" r="0" b="0" l="0"/>
            <wp:docPr id="1" name="diagrams/erd/m2_3_institutions_1.png" descr="م2–م3 · الجهات المالية والحسابات والمفوّضون (1/3)" title="م2–م3 · الجهات المالية والحسابات والمفوّض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6381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9"/>
        <w:gridCol w:w="2246"/>
        <w:gridCol w:w="2009"/>
        <w:gridCol w:w="840"/>
        <w:gridCol w:w="840"/>
        <w:gridCol w:w="840"/>
        <w:gridCol w:w="840"/>
      </w:tblGrid>
      <w:tr>
        <w:trPr>
          <w:cantSplit/>
          <w:tblHeader/>
        </w:trPr>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at a bank: a lightweight record with no identity; PartyId is optional, for promotion (FR-INS-007/008, BR-INS-005/006/014)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(FR-INS-001..004, BR-INS-001..003, BR-INS-012); Locality (local or foreign) is derived (BR-INS-002) and therefore not stored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 in an institution's structure: division, department or branch; self-referencing tree of up to four levels (FR-INS-005/006, BR-INS-004)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InstitutionUnitId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Company–institution relationship (D-4); unique regardless of status (FR-INS-009, BR-INS-007/011)</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1"/>
        <w:gridCol w:w="1846"/>
        <w:gridCol w:w="886"/>
        <w:gridCol w:w="886"/>
        <w:gridCol w:w="886"/>
        <w:gridCol w:w="886"/>
        <w:gridCol w:w="1263"/>
      </w:tblGrid>
      <w:tr>
        <w:trPr>
          <w:cantSplit/>
          <w:tblHeader/>
        </w:trPr>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‎ins.Contact.InstitutionId‎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‎ins.Contact.UnitId‎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‎ins.Contact.ReportsToContactId‎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‎ins.Contact.PartyId‎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‎ins.Institution.InstitutionTypeId‎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‎ins.Institution.CountryId‎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‎ins.Institution.PartyId‎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‎ins.InstitutionUnit.ParentUnitId‎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‎ins.InstitutionUnit.UnitTypeId‎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‎ins.Relationship.CompanyId‎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7" w:id="57"/>
      <w:r>
        <w:rPr>
          <w:rFonts w:ascii="Arial" w:cs="Arial" w:eastAsia="Arial" w:hAnsi="Arial"/>
          <w:b/>
          <w:bCs/>
          <w:color w:val="2B5C8A"/>
          <w:sz w:val="23"/>
          <w:szCs w:val="23"/>
          <w:rtl/>
        </w:rPr>
        <w:t xml:space="preserve">م2–م3 · الجهات المالية والحسابات والمفوّضون (2/3)</w:t>
      </w:r>
      <w:bookmarkEnd w:id="57"/>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47900"/>
            <wp:effectExtent t="0" r="0" b="0" l="0"/>
            <wp:docPr id="1" name="diagrams/erd/m2_3_institutions_2.png" descr="م2–م3 · الجهات المالية والحسابات والمفوّضون (2/3)" title="م2–م3 · الجهات المالية والحسابات والمفوّض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247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73"/>
        <w:gridCol w:w="1825"/>
        <w:gridCol w:w="2254"/>
        <w:gridCol w:w="828"/>
        <w:gridCol w:w="828"/>
        <w:gridCol w:w="828"/>
        <w:gridCol w:w="828"/>
      </w:tblGrid>
      <w:tr>
        <w:trPr>
          <w:cantSplit/>
          <w:tblHeader/>
        </w:trPr>
        <w:tc>
          <w:tcPr>
            <w:tcW w:type="dxa" w:w="2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coverage (first layer): contact with role, rank and period (FR-INS-010, BR-INS-008/009)</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handled within a relationship, with a default contact and channel (FR-INS-011..013, BR-INS-010)</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checking a signatory's authority against governance rules, and the reviewer's decision (S1-B) (FR-ACC-018, BR-ACC-015)</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bank account at a financial institution (FR-ACC-001..009, BR-ACC-001..006, BR-ACC-016); account number and IBAN are encrypted, with blind-index uniqueness</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4"/>
        <w:gridCol w:w="1811"/>
        <w:gridCol w:w="859"/>
        <w:gridCol w:w="859"/>
        <w:gridCol w:w="859"/>
        <w:gridCol w:w="859"/>
        <w:gridCol w:w="1153"/>
      </w:tblGrid>
      <w:tr>
        <w:trPr>
          <w:cantSplit/>
          <w:tblHeader/>
        </w:trPr>
        <w:tc>
          <w:tcPr>
            <w:tcW w:type="dxa" w:w="3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‎ins.RelationshipContact.ContactId‎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‎ins.RelationshipContact.RoleId‎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‎ins.RelationshipProduct.ProductId‎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‎ins.RelationshipProduct.DefaultContactId‎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‎acc.AuthorityConflict.SignatoryAuthorityId‎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‎acc.AuthorityConflict.ReviewedBy‎</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‎acc.BankAccount.CompanyId‎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‎acc.BankAccount.InstitutionId‎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‎acc.BankAccount.RelationshipId‎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‎acc.BankAccount.AccountTypeId‎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‎acc.BankAccount.MasterAccountId‎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 CurrencyId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‎acc.BankAccount.CurrencyId‎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‎acc.BankAccount.HashKeyId‎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‎acc.BankAccount.BranchUnitId‎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bl>
    <w:p>
      <w:pPr>
        <w:bidi/>
        <w:spacing w:after="120" w:before="0"/>
      </w:pPr>
    </w:p>
    <w:p>
      <w:pPr>
        <w:pStyle w:val="Heading3"/>
        <w:bidi/>
      </w:pPr>
      <w:bookmarkStart w:name="_sec58" w:id="58"/>
      <w:r>
        <w:rPr>
          <w:rFonts w:ascii="Arial" w:cs="Arial" w:eastAsia="Arial" w:hAnsi="Arial"/>
          <w:b/>
          <w:bCs/>
          <w:color w:val="2B5C8A"/>
          <w:sz w:val="23"/>
          <w:szCs w:val="23"/>
          <w:rtl/>
        </w:rPr>
        <w:t xml:space="preserve">م2–م3 · الجهات المالية والحسابات والمفوّضون (3/3)</w:t>
      </w:r>
      <w:bookmarkEnd w:id="58"/>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5686425" cy="8191500"/>
            <wp:effectExtent t="0" r="0" b="0" l="0"/>
            <wp:docPr id="1" name="diagrams/erd/m2_3_institutions_3.png" descr="م2–م3 · الجهات المالية والحسابات والمفوّضون (3/3)" title="م2–م3 · الجهات المالية والحسابات والمفوّض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864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5"/>
        <w:gridCol w:w="1814"/>
        <w:gridCol w:w="1905"/>
        <w:gridCol w:w="810"/>
        <w:gridCol w:w="810"/>
        <w:gridCol w:w="810"/>
        <w:gridCol w:w="810"/>
      </w:tblGrid>
      <w:tr>
        <w:trPr>
          <w:cantSplit/>
          <w:tblHeader/>
        </w:trPr>
        <w:tc>
          <w:tcPr>
            <w:tcW w:type="dxa" w:w="2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linked to a facility for a specific purpose (S2) (FR-ACC-010, BR-ACC-007); populated from the facility screen</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authorised to sign for a relationship (S1-B) (FR-ACC-012, FR-ACC-023, BR-ACC-008/009), plus additions from docs/05 G-10</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authority for an operation on an account or on the bank (S1-B) (FR-ACC-013/014/017, BR-ACC-010/011); not edited in place: closed and reopened instead; its status is derived and not stored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 classes required for joint signing (JointClassIds) (BR-ACC-013)</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SignatoryAuthorityId, SignatureClassId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604"/>
        <w:gridCol w:w="843"/>
        <w:gridCol w:w="843"/>
        <w:gridCol w:w="843"/>
        <w:gridCol w:w="843"/>
        <w:gridCol w:w="1021"/>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‎acc.FacilityAccount.FacilityId‎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‎acc.FacilityAccount.BankAccountId‎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‎acc.FacilityAccount.PurposeId‎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‎acc.Signatory.PartyId‎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‎acc.Signatory.PositionId‎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‎acc.Signatory.AuthorisationBasisId‎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‎acc.Signatory.CashWithdrawalCurrencyId‎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‎acc.Signatory.AuthorizationDocumentId‎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‎acc.Signatory.SpecimenDocumentId‎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‎acc.SignatoryAuthority.SignatoryId‎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‎acc.SignatoryAuthority.BankAccountId‎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‎acc.SignatoryAuthority.OperationTypeId‎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‎acc.SignatoryAuthority.SourceDocumentId‎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‎acc.SignatoryAuthority.SupersededById‎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‎acc.SignatoryAuthorityJointClass.SignatoryAuthorityId‎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9" w:id="59"/>
      <w:r>
        <w:rPr>
          <w:rFonts w:ascii="Arial" w:cs="Arial" w:eastAsia="Arial" w:hAnsi="Arial"/>
          <w:b/>
          <w:bCs/>
          <w:color w:val="2B5C8A"/>
          <w:sz w:val="26"/>
          <w:szCs w:val="26"/>
          <w:rtl/>
        </w:rPr>
        <w:t xml:space="preserve">10.6 م4 · الكتالوجات والمراجع</w:t>
      </w:r>
      <w:bookmarkEnd w:id="59"/>
    </w:p>
    <w:p>
      <w:pPr>
        <w:pStyle w:val="Heading3"/>
        <w:bidi/>
      </w:pPr>
      <w:bookmarkStart w:name="_sec60" w:id="60"/>
      <w:r>
        <w:rPr>
          <w:rFonts w:ascii="Arial" w:cs="Arial" w:eastAsia="Arial" w:hAnsi="Arial"/>
          <w:b/>
          <w:bCs/>
          <w:color w:val="2B5C8A"/>
          <w:sz w:val="23"/>
          <w:szCs w:val="23"/>
          <w:rtl/>
        </w:rPr>
        <w:t xml:space="preserve">م4 · المنتجات والرسوم والتمويل والضمانات (1/3)</w:t>
      </w:r>
      <w:bookmarkEnd w:id="60"/>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00225"/>
            <wp:effectExtent t="0" r="0" b="0" l="0"/>
            <wp:docPr id="1" name="diagrams/erd/m4_products_1.png" descr="م4 · المنتجات والرسوم والتمويل والضمانات (1/3)" title="م4 · المنتجات والرسوم والتمويل والضمان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1800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50"/>
        <w:gridCol w:w="1608"/>
        <w:gridCol w:w="2278"/>
        <w:gridCol w:w="857"/>
        <w:gridCol w:w="857"/>
        <w:gridCol w:w="857"/>
        <w:gridCol w:w="857"/>
      </w:tblGrid>
      <w:tr>
        <w:trPr>
          <w:cantSplit/>
          <w:tblHeader/>
        </w:trPr>
        <w:tc>
          <w:tcPr>
            <w:tcW w:type="dxa" w:w="2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category: flat list (FR-CAT-007)</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product with its flags (FR-CAT-007, BR-CAT-004)</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 a broad category, not a tariff item (FR-CAT-008, BR-CAT-005, Q-CAT-10)</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 (FR-CAT-009, BR-CAT-006)</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1"/>
        <w:gridCol w:w="2128"/>
        <w:gridCol w:w="897"/>
        <w:gridCol w:w="897"/>
        <w:gridCol w:w="897"/>
        <w:gridCol w:w="897"/>
        <w:gridCol w:w="897"/>
      </w:tblGrid>
      <w:tr>
        <w:trPr>
          <w:cantSplit/>
          <w:tblHeader/>
        </w:trPr>
        <w:tc>
          <w:tcPr>
            <w:tcW w:type="dxa" w:w="3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‎cat.Product.ProductCategoryId‎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1" w:id="61"/>
      <w:r>
        <w:rPr>
          <w:rFonts w:ascii="Arial" w:cs="Arial" w:eastAsia="Arial" w:hAnsi="Arial"/>
          <w:b/>
          <w:bCs/>
          <w:color w:val="2B5C8A"/>
          <w:sz w:val="23"/>
          <w:szCs w:val="23"/>
          <w:rtl/>
        </w:rPr>
        <w:t xml:space="preserve">م4 · المنتجات والرسوم والتمويل والضمانات (2/3)</w:t>
      </w:r>
      <w:bookmarkEnd w:id="61"/>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409700"/>
            <wp:effectExtent t="0" r="0" b="0" l="0"/>
            <wp:docPr id="1" name="diagrams/erd/m4_products_2.png" descr="م4 · المنتجات والرسوم والتمويل والضمانات (2/3)" title="م4 · المنتجات والرسوم والتمويل والضمان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9"/>
        <w:gridCol w:w="1526"/>
        <w:gridCol w:w="2399"/>
        <w:gridCol w:w="830"/>
        <w:gridCol w:w="830"/>
        <w:gridCol w:w="830"/>
        <w:gridCol w:w="830"/>
      </w:tblGrid>
      <w:tr>
        <w:trPr>
          <w:cantSplit/>
          <w:tblHeader/>
        </w:trPr>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types allowed for a product; disabling a link deletes it and does not affect list pricing rules (FR-CAT-010, BR-CAT-007)</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types allowed for a product (FR-CAT-010, BR-CAT-007); the pair respects the Shariah classification (DR-30)</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ProductFinancingTypeId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type (FR-CAT-011)</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type: master or sub-limit (FR-CAT-012, BR-CAT-008)</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7"/>
        <w:gridCol w:w="1451"/>
        <w:gridCol w:w="865"/>
        <w:gridCol w:w="865"/>
        <w:gridCol w:w="865"/>
        <w:gridCol w:w="865"/>
        <w:gridCol w:w="1536"/>
      </w:tblGrid>
      <w:tr>
        <w:trPr>
          <w:cantSplit/>
          <w:tblHeader/>
        </w:trPr>
        <w:tc>
          <w:tcPr>
            <w:tcW w:type="dxa" w:w="3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‎cat.ProductFeeType.FeeTypeId‎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ProductCompliance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‎cat.ProductFinancingType.FinancingTypeId‎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FinancingIsIslamic</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‎cat.LimitType.ParentLimitTypeId‎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م4 · المنتجات والرسوم والتمويل والضمانات (3/3)</w:t>
      </w:r>
      <w:bookmarkEnd w:id="62"/>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00275"/>
            <wp:effectExtent t="0" r="0" b="0" l="0"/>
            <wp:docPr id="1" name="diagrams/erd/m4_products_3.png" descr="م4 · المنتجات والرسوم والتمويل والضمانات (3/3)" title="م4 · المنتجات والرسوم والتمويل والضمان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200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9"/>
        <w:gridCol w:w="1475"/>
        <w:gridCol w:w="2458"/>
        <w:gridCol w:w="818"/>
        <w:gridCol w:w="818"/>
        <w:gridCol w:w="818"/>
        <w:gridCol w:w="818"/>
      </w:tblGrid>
      <w:tr>
        <w:trPr>
          <w:cantSplit/>
          <w:tblHeader/>
        </w:trPr>
        <w:tc>
          <w:tcPr>
            <w:tcW w:type="dxa" w:w="2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Products allowed for a limit type; no rows = any product, with a visible flag (BR-CAT-008)</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LimitTypeId, ProductId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type with its structure type and attribute template (FR-CAT-013)</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 in a collateral-type template; never deleted, only marked Retired (BR-CAT-009)</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CollateralTypeAttributeId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type with four families (FR-CAT-014, BR-CAT-010)</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78"/>
        <w:gridCol w:w="1626"/>
        <w:gridCol w:w="852"/>
        <w:gridCol w:w="852"/>
        <w:gridCol w:w="852"/>
        <w:gridCol w:w="852"/>
        <w:gridCol w:w="852"/>
      </w:tblGrid>
      <w:tr>
        <w:trPr>
          <w:cantSplit/>
          <w:tblHeader/>
        </w:trPr>
        <w:tc>
          <w:tcPr>
            <w:tcW w:type="dxa" w:w="3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‎cat.LimitTypeProduct.LimitTypeId‎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‎cat.LimitTypeProduct.ProductId‎</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‎cat.CollateralTypeAttribute.CollateralTypeId‎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3" w:id="63"/>
      <w:r>
        <w:rPr>
          <w:rFonts w:ascii="Arial" w:cs="Arial" w:eastAsia="Arial" w:hAnsi="Arial"/>
          <w:b/>
          <w:bCs/>
          <w:color w:val="2B5C8A"/>
          <w:sz w:val="23"/>
          <w:szCs w:val="23"/>
          <w:rtl/>
        </w:rPr>
        <w:t xml:space="preserve">م4 · الكتالوجات المرجعية (1/2)</w:t>
      </w:r>
      <w:bookmarkEnd w:id="63"/>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42925"/>
            <wp:effectExtent t="0" r="0" b="0" l="0"/>
            <wp:docPr id="1" name="diagrams/erd/m4_reference_1.png" descr="م4 · الكتالوجات المرجعية (1/2)" title="م4 · الكتالوجات المرجعي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54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3"/>
        <w:gridCol w:w="2132"/>
        <w:gridCol w:w="2057"/>
        <w:gridCol w:w="843"/>
        <w:gridCol w:w="843"/>
        <w:gridCol w:w="843"/>
        <w:gridCol w:w="843"/>
      </w:tblGrid>
      <w:tr>
        <w:trPr>
          <w:cantSplit/>
          <w:tblHeader/>
        </w:trPr>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Currencies enabled for the tenant: a subset of the global currency reference (FR-CAT-023, Q-CAT-08)</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CurrencyId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type: bank, finance company, investment company, financial company, individual (FR-INS-001)</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type (FR-ACC-001)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entity type: the entity and its attributes are defined in specification 10 (FR-ORG-002, BR-CAT-017) and seeded by this module; catalogue columns are written by hand because code uniqueness is per country (specification 10, section 6.2), not global</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2"/>
        <w:gridCol w:w="1527"/>
        <w:gridCol w:w="929"/>
        <w:gridCol w:w="929"/>
        <w:gridCol w:w="929"/>
        <w:gridCol w:w="929"/>
        <w:gridCol w:w="929"/>
      </w:tblGrid>
      <w:tr>
        <w:trPr>
          <w:cantSplit/>
          <w:tblHeader/>
        </w:trPr>
        <w:tc>
          <w:tcPr>
            <w:tcW w:type="dxa" w:w="3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‎cat.TenantCurrency.CurrencyId‎</w:t>
            </w:r>
          </w:p>
        </w:tc>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‎cat.LegalEntityType.CountryId‎</w:t>
            </w:r>
          </w:p>
        </w:tc>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4" w:id="64"/>
      <w:r>
        <w:rPr>
          <w:rFonts w:ascii="Arial" w:cs="Arial" w:eastAsia="Arial" w:hAnsi="Arial"/>
          <w:b/>
          <w:bCs/>
          <w:color w:val="2B5C8A"/>
          <w:sz w:val="23"/>
          <w:szCs w:val="23"/>
          <w:rtl/>
        </w:rPr>
        <w:t xml:space="preserve">م4 · الكتالوجات المرجعية (2/2)</w:t>
      </w:r>
      <w:bookmarkEnd w:id="64"/>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61975"/>
            <wp:effectExtent t="0" r="0" b="0" l="0"/>
            <wp:docPr id="1" name="diagrams/erd/m4_reference_2.png" descr="م4 · الكتالوجات المرجعية (2/2)" title="م4 · الكتالوجات المرجعي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3"/>
        <w:gridCol w:w="2267"/>
        <w:gridCol w:w="1936"/>
        <w:gridCol w:w="862"/>
        <w:gridCol w:w="862"/>
        <w:gridCol w:w="862"/>
        <w:gridCol w:w="862"/>
      </w:tblGrid>
      <w:tr>
        <w:trPr>
          <w:cantSplit/>
          <w:tblHeader/>
        </w:trPr>
        <w:tc>
          <w:tcPr>
            <w:tcW w:type="dxa" w:w="2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type; applies the flags defined in specification 10 at upload (FR-CAT-018, BR-CAT-016, FR-PLT-028)</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2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 position: its attributes are defined in specification 10 (section 6.2) only, and this module seeds its rows (FR-CAT-019, BR-CAT-017); SortOrder comes from the catalogue base</w:t>
            </w:r>
          </w:p>
        </w:tc>
        <w:tc>
          <w:tcPr>
            <w:tcW w:type="dxa" w:w="1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PositionId</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Governance power type: its attributes are defined in specification 10 (section 6.2) only, and this module seeds its rows (FR-CAT-019, FR-ORG-024)</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م4 · الأسعار المرجعية والقوائم (1/2)</w:t>
      </w:r>
      <w:bookmarkEnd w:id="65"/>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38550"/>
            <wp:effectExtent t="0" r="0" b="0" l="0"/>
            <wp:docPr id="1" name="diagrams/erd/m4_rates_lookups_1.png" descr="م4 · الأسعار المرجعية والقوائم (1/2)" title="م4 · الأسعار المرجعية والقوائم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638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8"/>
        <w:gridCol w:w="1800"/>
        <w:gridCol w:w="1800"/>
        <w:gridCol w:w="834"/>
        <w:gridCol w:w="834"/>
        <w:gridCol w:w="834"/>
        <w:gridCol w:w="834"/>
      </w:tblGrid>
      <w:tr>
        <w:trPr>
          <w:cantSplit/>
          <w:tblHeader/>
        </w:trPr>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operation type that a signatory is authorised for (FR-ACC-013, BR-CAT-014)</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an operation to governance power type(s): any one is sufficient (BR-CAT-014, FR-CAT-019, Q-ACC-05)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OperationTypeId, PowerTypeId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 rate: market-wide (InstitutionId NULL) or internal to a bank (FR-CAT-015, BR-CAT-011); alternative names are in BaseRateAlias</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 for a base rate (for example SIBOR and SAIBOR); case-insensitive search; unique within scope (BR-CAT-011, FR-CAT-015)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BaseRateAliasId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7"/>
        <w:gridCol w:w="1587"/>
        <w:gridCol w:w="870"/>
        <w:gridCol w:w="870"/>
        <w:gridCol w:w="870"/>
        <w:gridCol w:w="870"/>
        <w:gridCol w:w="870"/>
      </w:tblGrid>
      <w:tr>
        <w:trPr>
          <w:cantSplit/>
          <w:tblHeader/>
        </w:trPr>
        <w:tc>
          <w:tcPr>
            <w:tcW w:type="dxa" w:w="3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‎cat.OperationTypePowerType.OperationTypeId‎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‎cat.OperationTypePowerType.PowerTypeId‎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‎cat.BaseRate.InstitutionId‎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‎cat.BaseRate.CurrencyId‎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‎cat.BaseRateAlias.BaseRateId‎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Tenor, ScopeKey</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م4 · الأسعار المرجعية والقوائم (2/2)</w:t>
      </w:r>
      <w:bookmarkEnd w:id="66"/>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457575"/>
            <wp:effectExtent t="0" r="0" b="0" l="0"/>
            <wp:docPr id="1" name="diagrams/erd/m4_rates_lookups_2.png" descr="م4 · الأسعار المرجعية والقوائم (2/2)" title="م4 · الأسعار المرجعية والقوائم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457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13"/>
        <w:gridCol w:w="2077"/>
        <w:gridCol w:w="2038"/>
        <w:gridCol w:w="859"/>
        <w:gridCol w:w="859"/>
        <w:gridCol w:w="859"/>
        <w:gridCol w:w="859"/>
      </w:tblGrid>
      <w:tr>
        <w:trPr>
          <w:cantSplit/>
          <w:tblHeader/>
        </w:trPr>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value with an effective date; rows are never deleted: a correction inserts a new row and the old one becomes SUPERSEDED (FR-CAT-016, BR-CAT-012/013)</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Tenant-owned lookup list (FR-CAT-020, BR-CAT-015)</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Item in a tenant-owned lookup list (FR-CAT-020)</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LookupItemId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3"/>
        <w:gridCol w:w="1857"/>
        <w:gridCol w:w="908"/>
        <w:gridCol w:w="908"/>
        <w:gridCol w:w="908"/>
        <w:gridCol w:w="908"/>
        <w:gridCol w:w="1092"/>
      </w:tblGrid>
      <w:tr>
        <w:trPr>
          <w:cantSplit/>
          <w:tblHeader/>
        </w:trPr>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‎cat.BaseRateValue.BaseRateId‎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‎cat.BaseRateValue.SupersedesId‎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‎cat.BaseRateValue.EnteredBy‎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‎cat.LookupItem.LookupListId‎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7" w:id="67"/>
      <w:r>
        <w:rPr>
          <w:rFonts w:ascii="Arial" w:cs="Arial" w:eastAsia="Arial" w:hAnsi="Arial"/>
          <w:b/>
          <w:bCs/>
          <w:color w:val="2B5C8A"/>
          <w:sz w:val="23"/>
          <w:szCs w:val="23"/>
          <w:rtl/>
        </w:rPr>
        <w:t xml:space="preserve">م4 · المراجع العامة (ref)</w:t>
      </w:r>
      <w:bookmarkEnd w:id="67"/>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8625"/>
            <wp:effectExtent t="0" r="0" b="0" l="0"/>
            <wp:docPr id="1" name="diagrams/erd/m4_global_ref.png" descr="م4 · المراجع العامة (ref)" title="م4 · المراجع العامة (r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4286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2"/>
        <w:gridCol w:w="2356"/>
        <w:gridCol w:w="1844"/>
        <w:gridCol w:w="878"/>
        <w:gridCol w:w="878"/>
        <w:gridCol w:w="878"/>
        <w:gridCol w:w="878"/>
      </w:tblGrid>
      <w:tr>
        <w:trPr>
          <w:cantSplit/>
          <w:tblHeader/>
        </w:trPr>
        <w:tc>
          <w:tcPr>
            <w:tcW w:type="dxa" w:w="2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2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global reference, read-only, managed by the platform operator (FR-CAT-026, BR-CAT-018, BR-CAT-015)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CountryId</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2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global ISO 4217 reference, read-only (FR-CAT-021, Q-CAT-08)</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2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delivery term: global reference, read-only, managed by the operator; legacy terms are displayed, not selectable (FR-LCT-013, FR-CAT-021, BR-CAT-015)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IncotermId</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2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article: NULL TenantId = global read-only row, published only by the platform operator (FR-LCT-006, BR-LCT-018, BR-PLT-001)</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UcpArticleId</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3"/>
        <w:gridCol w:w="2436"/>
        <w:gridCol w:w="905"/>
        <w:gridCol w:w="905"/>
        <w:gridCol w:w="905"/>
        <w:gridCol w:w="905"/>
        <w:gridCol w:w="905"/>
      </w:tblGrid>
      <w:tr>
        <w:trPr>
          <w:cantSplit/>
          <w:tblHeader/>
        </w:trPr>
        <w:tc>
          <w:tcPr>
            <w:tcW w:type="dxa" w:w="2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‎ref.UcpArticle.VerifiedBy‎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8" w:id="68"/>
      <w:r>
        <w:rPr>
          <w:rFonts w:ascii="Arial" w:cs="Arial" w:eastAsia="Arial" w:hAnsi="Arial"/>
          <w:b/>
          <w:bCs/>
          <w:color w:val="2B5C8A"/>
          <w:sz w:val="26"/>
          <w:szCs w:val="26"/>
          <w:rtl/>
        </w:rPr>
        <w:t xml:space="preserve">10.7 م5 · التسهيلات والتسعير والضمانات والالتزامات والبيانات المالية</w:t>
      </w:r>
      <w:bookmarkEnd w:id="68"/>
    </w:p>
    <w:p>
      <w:pPr>
        <w:pStyle w:val="Heading3"/>
        <w:bidi/>
      </w:pPr>
      <w:bookmarkStart w:name="_sec69" w:id="69"/>
      <w:r>
        <w:rPr>
          <w:rFonts w:ascii="Arial" w:cs="Arial" w:eastAsia="Arial" w:hAnsi="Arial"/>
          <w:b/>
          <w:bCs/>
          <w:color w:val="2B5C8A"/>
          <w:sz w:val="23"/>
          <w:szCs w:val="23"/>
          <w:rtl/>
        </w:rPr>
        <w:t xml:space="preserve">م5 · التسهيلات والمراجعات (1/2)</w:t>
      </w:r>
      <w:bookmarkEnd w:id="69"/>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48025"/>
            <wp:effectExtent t="0" r="0" b="0" l="0"/>
            <wp:docPr id="1" name="diagrams/erd/m5_facility_core_1.png" descr="م5 · التسهيلات والمراجعات (1/2)" title="م5 · التسهيلات والمراجع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3248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1"/>
        <w:gridCol w:w="3225"/>
        <w:gridCol w:w="1612"/>
        <w:gridCol w:w="809"/>
        <w:gridCol w:w="809"/>
        <w:gridCol w:w="809"/>
        <w:gridCol w:w="809"/>
      </w:tblGrid>
      <w:tr>
        <w:trPr>
          <w:cantSplit/>
          <w:tblHeader/>
        </w:trPr>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agreement package: root of the aggregate (FR-FAC-001..008, BR-FAC-001/005/006)</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Preparer and approver revision of facility terms (FR-FAC-024, BR-FAC-003/004, section 8)</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within the package, with precedence (FR-FAC-004, BR-FAC-008, V-FAC-03); its type comes from doc.Document.DocumentTypeId</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FacilityDocumentId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Lender and its share (FR-FAC-003, BR-FAC-007, V-FAC-02); shares total 100 and a single agent: checked by the application for every revision, and by trigger fac.TR_FacilityLender_ApprovedShares (db/static/050) for approved revisions</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4"/>
        <w:gridCol w:w="1609"/>
        <w:gridCol w:w="856"/>
        <w:gridCol w:w="856"/>
        <w:gridCol w:w="856"/>
        <w:gridCol w:w="856"/>
        <w:gridCol w:w="1207"/>
      </w:tblGrid>
      <w:tr>
        <w:trPr>
          <w:cantSplit/>
          <w:tblHeader/>
        </w:trPr>
        <w:tc>
          <w:tcPr>
            <w:tcW w:type="dxa" w:w="3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‎fac.Facility.BorrowerCompanyId‎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‎fac.Facility.FacilityTypeId‎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‎fac.Facility.CurrencyId‎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‎fac.Facility.PreviousFacilityId‎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‎fac.FacilityRevision.FacilityId‎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‎fac.FacilityRevision.SubmittedBy‎</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‎fac.FacilityRevision.ApprovedBy‎</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‎fac.FacilityDocument.DocumentId‎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‎fac.FacilityDocument.AmendsFacilityDocumentId‎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‎fac.FacilityLender.InstitutionId‎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‎fac.FacilityLender.ContactId‎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70" w:id="70"/>
      <w:r>
        <w:rPr>
          <w:rFonts w:ascii="Arial" w:cs="Arial" w:eastAsia="Arial" w:hAnsi="Arial"/>
          <w:b/>
          <w:bCs/>
          <w:color w:val="2B5C8A"/>
          <w:sz w:val="23"/>
          <w:szCs w:val="23"/>
          <w:rtl/>
        </w:rPr>
        <w:t xml:space="preserve">م5 · التسهيلات والمراجعات (2/2)</w:t>
      </w:r>
      <w:bookmarkEnd w:id="70"/>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943100"/>
            <wp:effectExtent t="0" r="0" b="0" l="0"/>
            <wp:docPr id="1" name="diagrams/erd/m5_facility_core_2.png" descr="م5 · التسهيلات والمراجعات (2/2)" title="م5 · التسهيلات والمراجع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1943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7"/>
        <w:gridCol w:w="1417"/>
        <w:gridCol w:w="2432"/>
        <w:gridCol w:w="837"/>
        <w:gridCol w:w="837"/>
        <w:gridCol w:w="837"/>
        <w:gridCol w:w="837"/>
      </w:tblGrid>
      <w:tr>
        <w:trPr>
          <w:cantSplit/>
          <w:tblHeader/>
        </w:trPr>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Snapshot of the recognised outstanding balance (FR-FAC-009, BR-FAC-017); PctOfLimit is derived and not stored</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OutstandingSnapshotId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Conflict between two values of one field, and its resolution (FR-FAC-026, BR-FAC-019, BR-FAC-008)</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ValueConflictId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50"/>
        <w:gridCol w:w="1525"/>
        <w:gridCol w:w="873"/>
        <w:gridCol w:w="873"/>
        <w:gridCol w:w="873"/>
        <w:gridCol w:w="873"/>
        <w:gridCol w:w="897"/>
      </w:tblGrid>
      <w:tr>
        <w:trPr>
          <w:cantSplit/>
          <w:tblHeader/>
        </w:trPr>
        <w:tc>
          <w:tcPr>
            <w:tcW w:type="dxa" w:w="3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‎fac.OutstandingSnapshot.FacilityId‎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‎fac.OutstandingSnapshot.LimitId‎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‎fac.OutstandingSnapshot.ProductId‎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‎fac.OutstandingSnapshot.CurrencyId‎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‎fac.OutstandingSnapshot.SourceDocumentId‎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‎fac.OutstandingSnapshot.VerifiedBy‎</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‎fac.OutstandingSnapshot.ConflictId‎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‎fac.ValueConflict.FacilityId‎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‎fac.ValueConflict.CandidateASourceDocumentId‎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‎fac.ValueConflict.CandidateBSourceDocumentId‎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‎fac.ValueConflict.ResolvedBy‎</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1" w:id="71"/>
      <w:r>
        <w:rPr>
          <w:rFonts w:ascii="Arial" w:cs="Arial" w:eastAsia="Arial" w:hAnsi="Arial"/>
          <w:b/>
          <w:bCs/>
          <w:color w:val="2B5C8A"/>
          <w:sz w:val="23"/>
          <w:szCs w:val="23"/>
          <w:rtl/>
        </w:rPr>
        <w:t xml:space="preserve">م5 · الحدود والاستخدام والحجوزات (1/2)</w:t>
      </w:r>
      <w:bookmarkEnd w:id="71"/>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705350"/>
            <wp:effectExtent t="0" r="0" b="0" l="0"/>
            <wp:docPr id="1" name="diagrams/erd/m5_limits_1.png" descr="م5 · الحدود والاستخدام والحجوزات (1/2)" title="م5 · الحدود والاستخدام والحجوز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4705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Limit-tree node (FR-FAC-010/011, BR-FAC-009/010, V-FAC-04..07)</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line within a limit, with an optional SHARED_CAP ceiling (FR-FAC-012, V-FAC-08)</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rule on a limit: allowed, excluded or allocated (FR-FAC-013, BR-FAC-012, V-FAC-09)</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LimitCompanyRuleId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Operational terms of a product line with effective dates; NULL means 'not specified', not zero (FR-FAC-014, BR-FAC-016)</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ProductLineTermId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27"/>
        <w:gridCol w:w="1749"/>
        <w:gridCol w:w="869"/>
        <w:gridCol w:w="869"/>
        <w:gridCol w:w="869"/>
        <w:gridCol w:w="869"/>
        <w:gridCol w:w="1312"/>
      </w:tblGrid>
      <w:tr>
        <w:trPr>
          <w:cantSplit/>
          <w:tblHeader/>
        </w:trPr>
        <w:tc>
          <w:tcPr>
            <w:tcW w:type="dxa" w:w="3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‎fac.Limit.ParentLimitId‎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‎fac.Limit.LimitTypeId‎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‎fac.LimitProductLine.ProductId‎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‎fac.LimitProductLine.SupersedesId‎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‎fac.LimitProductLine.SourceDocumentId‎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‎fac.LimitProductLine.VerifiedBy‎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‎fac.LimitProductLine.ConflictId‎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‎fac.ProductLineTerm.LimitProductLineId‎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2" w:id="72"/>
      <w:r>
        <w:rPr>
          <w:rFonts w:ascii="Arial" w:cs="Arial" w:eastAsia="Arial" w:hAnsi="Arial"/>
          <w:b/>
          <w:bCs/>
          <w:color w:val="2B5C8A"/>
          <w:sz w:val="23"/>
          <w:szCs w:val="23"/>
          <w:rtl/>
        </w:rPr>
        <w:t xml:space="preserve">م5 · الحدود والاستخدام والحجوزات (2/2)</w:t>
      </w:r>
      <w:bookmarkEnd w:id="72"/>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781425" cy="8191500"/>
            <wp:effectExtent t="0" r="0" b="0" l="0"/>
            <wp:docPr id="1" name="diagrams/erd/m5_limits_2.png" descr="م5 · الحدود والاستخدام والحجوزات (2/2)" title="م5 · الحدود والاستخدام والحجوز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7814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3"/>
        <w:gridCol w:w="2250"/>
        <w:gridCol w:w="2025"/>
        <w:gridCol w:w="834"/>
        <w:gridCol w:w="834"/>
        <w:gridCol w:w="834"/>
        <w:gridCol w:w="834"/>
      </w:tblGrid>
      <w:tr>
        <w:trPr>
          <w:cantSplit/>
          <w:tblHeader/>
        </w:trPr>
        <w:tc>
          <w:tcPr>
            <w:tcW w:type="dxa" w:w="2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utilisation item: manual or linked to a letter of credit; never deleted (FR-FAC-016/030, BR-FAC-013/020)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reserved for a request, equal to ExposureAmount (FR-FAC-017/018/020, BR-FAC-015)</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Movement record on a reservation or usage; no update or delete; duplicate-prevention key (BR-FAC-015, BR-FAC-020)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LimitMovementId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18"/>
        <w:gridCol w:w="1728"/>
        <w:gridCol w:w="867"/>
        <w:gridCol w:w="867"/>
        <w:gridCol w:w="867"/>
        <w:gridCol w:w="867"/>
        <w:gridCol w:w="950"/>
      </w:tblGrid>
      <w:tr>
        <w:trPr>
          <w:cantSplit/>
          <w:tblHeader/>
        </w:trPr>
        <w:tc>
          <w:tcPr>
            <w:tcW w:type="dxa" w:w="3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‎fac.Utilization.LimitProductLineId‎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‎fac.Utilization.CompanyId‎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‎fac.Utilization.CurrencyId‎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‎fac.Utilization.SourceRequestId‎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‎fac.LimitReservation.LimitProductLineId‎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‎fac.LimitReservation.CompanyId‎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‎fac.LimitReservation.RequestId‎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‎fac.LimitReservation.CurrencyId‎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‎fac.LimitReservation.ConvertedUtilizationId‎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‎fac.LimitMovement.FacilityId‎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‎fac.LimitMovement.LimitReservationId‎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‎fac.LimitMovement.UtilizationId‎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‎fac.LimitMovement.CurrencyId‎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‎fac.LimitMovement.ActorUserId‎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م5 · التسعير وشروط المقارنة (1/2)</w:t>
      </w:r>
      <w:bookmarkEnd w:id="73"/>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2181225" cy="8191500"/>
            <wp:effectExtent t="0" r="0" b="0" l="0"/>
            <wp:docPr id="1" name="diagrams/erd/m5_pricing_1.png" descr="م5 · التسعير وشروط المقارنة (1/2)" title="م5 · التسعير وشروط المقارن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1812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rule with scope, inheritance and methods (FR-PRC-006..017, BR-PRC-006..012, V-PRC-02)</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PricingRuleId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TIERED rule by amount and/or term (FR-PRC-003, BR-PRC-002)</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PricingTierId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item in a tariff schedule (FR-PRC-002, BR-PRC-002..005)</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TariffItemId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tariff schedule version; optionally specific to a facility (FR-PRC-001, BR-PRC-001, V-PRC-01)</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2"/>
        <w:gridCol w:w="1728"/>
        <w:gridCol w:w="867"/>
        <w:gridCol w:w="867"/>
        <w:gridCol w:w="867"/>
        <w:gridCol w:w="867"/>
        <w:gridCol w:w="1296"/>
      </w:tblGrid>
      <w:tr>
        <w:trPr>
          <w:cantSplit/>
          <w:tblHeader/>
        </w:trPr>
        <w:tc>
          <w:tcPr>
            <w:tcW w:type="dxa" w:w="3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‎prc.PricingRule.ScopeCompanyId‎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‎prc.PricingRule.FeeTypeId‎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‎prc.PricingRule.FinancingTypeId‎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‎prc.PricingRule.TariffItemId‎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‎prc.PricingRule.BaseRateId‎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‎prc.PricingRule.CurrencyId‎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‎prc.PricingTier.PricingRuleId‎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‎prc.TariffItem.ScheduleId‎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‎prc.TariffItem.FeeTypeId‎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‎prc.TariffItem.CurrencyId‎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‎prc.TariffSchedule.InstitutionId‎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‎prc.TariffSchedule.FacilityId‎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‎prc.TariffSchedule.SourceDocumentId‎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‎prc.TariffSchedule.ApprovedBy‎</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م5 · التسعير وشروط المقارنة (2/2)</w:t>
      </w:r>
      <w:bookmarkEnd w:id="74"/>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295900"/>
            <wp:effectExtent t="0" r="0" b="0" l="0"/>
            <wp:docPr id="1" name="diagrams/erd/m5_pricing_2.png" descr="م5 · التسعير وشروط المقارنة (2/2)" title="م5 · التسعير وشروط المقارن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5295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4"/>
        <w:gridCol w:w="2524"/>
        <w:gridCol w:w="1778"/>
        <w:gridCol w:w="872"/>
        <w:gridCol w:w="872"/>
        <w:gridCol w:w="872"/>
        <w:gridCol w:w="872"/>
      </w:tblGrid>
      <w:tr>
        <w:trPr>
          <w:cantSplit/>
          <w:tblHeader/>
        </w:trPr>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tariff item by amount and/or term (FR-PRC-003, BR-PRC-002)</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Comparable term key (FR-CMP-001); the code follows the pattern PRC.MARGIN_PCT; system terms cannot be deleted and their unit cannot change (IsSystem)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TermTypeId</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 value in a facility, with its scope and source (FR-CMP-002..006, BR-CMP-001..006, V-CMP-01)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1891"/>
        <w:gridCol w:w="882"/>
        <w:gridCol w:w="882"/>
        <w:gridCol w:w="882"/>
        <w:gridCol w:w="882"/>
        <w:gridCol w:w="1418"/>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‎prc.TariffTier.TariffItemId‎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‎cmp.TermValue.FacilityId‎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‎cmp.TermValue.TermTypeId‎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‎cmp.TermValue.LimitProductLineId‎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‎cmp.TermValue.ProductId‎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‎cmp.TermValue.CompanyId‎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‎cmp.TermValue.SupersedesId‎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‎cmp.TermValue.SourceDocumentId‎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‎cmp.TermValue.VerifiedBy‎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‎cmp.TermValue.ConflictId‎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5" w:id="75"/>
      <w:r>
        <w:rPr>
          <w:rFonts w:ascii="Arial" w:cs="Arial" w:eastAsia="Arial" w:hAnsi="Arial"/>
          <w:b/>
          <w:bCs/>
          <w:color w:val="2B5C8A"/>
          <w:sz w:val="23"/>
          <w:szCs w:val="23"/>
          <w:rtl/>
        </w:rPr>
        <w:t xml:space="preserve">م5 · الضمانات (1/2)</w:t>
      </w:r>
      <w:bookmarkEnd w:id="75"/>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62275"/>
            <wp:effectExtent t="0" r="0" b="0" l="0"/>
            <wp:docPr id="1" name="diagrams/erd/m5_collateral_1.png" descr="م5 · الضمانات (1/2)" title="م5 · الضمان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2962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9"/>
        <w:gridCol w:w="1470"/>
        <w:gridCol w:w="2481"/>
        <w:gridCol w:w="811"/>
        <w:gridCol w:w="811"/>
        <w:gridCol w:w="811"/>
        <w:gridCol w:w="811"/>
      </w:tblGrid>
      <w:tr>
        <w:trPr>
          <w:cantSplit/>
          <w:tblHeader/>
        </w:trPr>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record; approved independently of the facility review, and an amendment creates a new revision (FR-COL-001/014, V-COL-01, section 8)</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collateral and a facility or limit; one collateral can serve several facilities (FR-COL-002, BR-COL-005)</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CollateralLinkId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 1:1 with Collateral; the guarantor is always a Party, and no identity numbers are stored here (FR-COL-003/004, BR-COL-001)</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 policy assignment; the uniqueness key (CollateralId, PolicyNo) allows the policy to be renewed (FR-COL-006, BR-COL-003)</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InsurancePolicyAssignmentId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458"/>
        <w:gridCol w:w="843"/>
        <w:gridCol w:w="843"/>
        <w:gridCol w:w="843"/>
        <w:gridCol w:w="843"/>
        <w:gridCol w:w="1167"/>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‎col.Collateral.CollateralTypeId‎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‎col.Collateral.OwnerPartyId‎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‎col.Collateral.CashMarginAccountId‎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‎col.Collateral.ApprovedBy‎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‎col.Collateral.ReleaseDocumentId‎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‎col.Collateral.SourceDocumentId‎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‎col.Collateral.VerifiedBy‎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‎col.Collateral.ConflictId‎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‎col.CollateralLink.FacilityId‎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‎col.CollateralLink.LimitId‎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‎col.Guarantee.GuarantorPartyId‎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GuarantorPartyId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‎col.Guarantee.DeedDocumentId‎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‎col.InsurancePolicyAssignment.CollateralId‎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‎col.InsurancePolicyAssignment.AssignedToInstitutionId‎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‎col.InsurancePolicyAssignment.PolicyDocumentId‎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م5 · الضمانات (2/2)</w:t>
      </w:r>
      <w:bookmarkEnd w:id="76"/>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629025"/>
            <wp:effectExtent t="0" r="0" b="0" l="0"/>
            <wp:docPr id="1" name="diagrams/erd/m5_collateral_2.png" descr="م5 · الضمانات (2/2)" title="م5 · الضمان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629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0"/>
        <w:gridCol w:w="1772"/>
        <w:gridCol w:w="2104"/>
        <w:gridCol w:w="832"/>
        <w:gridCol w:w="832"/>
        <w:gridCol w:w="832"/>
        <w:gridCol w:w="832"/>
      </w:tblGrid>
      <w:tr>
        <w:trPr>
          <w:cantSplit/>
          <w:tblHeader/>
        </w:trPr>
        <w:tc>
          <w:tcPr>
            <w:tcW w:type="dxa" w:w="2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 1:1; its own amount may exceed the limit (FR-COL-005, BR-COL-002); NextRenewalDue and PNRatio are derived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PromissoryNoteId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w:t>
            </w:r>
          </w:p>
        </w:tc>
        <w:tc>
          <w:tcPr>
            <w:tcW w:type="dxa" w:w="1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Signers of the promissory note (SignerPartyIds)</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PromissoryNoteId, PartyId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 valuation schedule (FR-COL-008, BR-COL-004), for example three valuers in the first year, then one valuer per year</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ValuationScheduleId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5"/>
        <w:gridCol w:w="1594"/>
        <w:gridCol w:w="871"/>
        <w:gridCol w:w="871"/>
        <w:gridCol w:w="871"/>
        <w:gridCol w:w="871"/>
        <w:gridCol w:w="1151"/>
      </w:tblGrid>
      <w:tr>
        <w:trPr>
          <w:cantSplit/>
          <w:tblHeader/>
        </w:trPr>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‎col.PromissoryNote.CollateralId‎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‎col.PromissoryNote.CurrencyId‎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‎col.PromissoryNote.NoteDocumentId‎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‎col.PromissoryNoteSigner.PromissoryNoteId‎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‎col.PromissoryNoteSigner.PartyId‎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‎col.ValuationSchedule.CollateralId‎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‎col.ValuationSchedule.CurrencyId‎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7" w:id="77"/>
      <w:r>
        <w:rPr>
          <w:rFonts w:ascii="Arial" w:cs="Arial" w:eastAsia="Arial" w:hAnsi="Arial"/>
          <w:b/>
          <w:bCs/>
          <w:color w:val="2B5C8A"/>
          <w:sz w:val="23"/>
          <w:szCs w:val="23"/>
          <w:rtl/>
        </w:rPr>
        <w:t xml:space="preserve">م5 · الالتزامات والتعهدات (1/2)</w:t>
      </w:r>
      <w:bookmarkEnd w:id="77"/>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7715250"/>
            <wp:effectExtent t="0" r="0" b="0" l="0"/>
            <wp:docPr id="1" name="diagrams/erd/m5_obligations_1.png" descr="م5 · الالتزامات والتعهدات (1/2)" title="م5 · الالتزامات والتعه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7715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8"/>
        <w:gridCol w:w="2365"/>
        <w:gridCol w:w="1743"/>
        <w:gridCol w:w="847"/>
        <w:gridCol w:w="847"/>
        <w:gridCol w:w="847"/>
        <w:gridCol w:w="847"/>
      </w:tblGrid>
      <w:tr>
        <w:trPr>
          <w:cantSplit/>
          <w:tblHeader/>
        </w:trPr>
        <w:tc>
          <w:tcPr>
            <w:tcW w:type="dxa" w:w="2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revision with dates; graduated limits are several revisions (FR-OBL-006, BR-OBL-001/005/006, Q-OBL-01)</w:t>
            </w:r>
          </w:p>
        </w:tc>
        <w:tc>
          <w:tcPr>
            <w:tcW w:type="dxa" w:w="1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 covered by a covenant when specific accounts are selected (AccountIds)</w:t>
            </w:r>
          </w:p>
        </w:tc>
        <w:tc>
          <w:tcPr>
            <w:tcW w:type="dxa" w:w="1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CovenantId, BankAccountId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test for a period and test version; an evaluated test changes only by its review (044, DR-39) (FR-OBL-011, FR-FIN-012/013, BR-OBL-006/007, section 8)</w:t>
            </w:r>
          </w:p>
        </w:tc>
        <w:tc>
          <w:tcPr>
            <w:tcW w:type="dxa" w:w="1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on a facility (or on a limit, line or set of companies); the family comes from ObligationType and cannot be edited (FR-OBL-001, BR-OBL-001)</w:t>
            </w:r>
          </w:p>
        </w:tc>
        <w:tc>
          <w:tcPr>
            <w:tcW w:type="dxa" w:w="1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55"/>
        <w:gridCol w:w="1686"/>
        <w:gridCol w:w="863"/>
        <w:gridCol w:w="863"/>
        <w:gridCol w:w="863"/>
        <w:gridCol w:w="863"/>
        <w:gridCol w:w="1771"/>
      </w:tblGrid>
      <w:tr>
        <w:trPr>
          <w:cantSplit/>
          <w:tblHeader/>
        </w:trPr>
        <w:tc>
          <w:tcPr>
            <w:tcW w:type="dxa" w:w="2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‎obl.Covenant.ObligationId‎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2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‎obl.Covenant.FormulaId‎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FormulaResultUnit, FormulaUsesStatements</w:t>
            </w:r>
          </w:p>
        </w:tc>
      </w:tr>
      <w:tr>
        <w:trPr>
          <w:cantSplit/>
        </w:trPr>
        <w:tc>
          <w:tcPr>
            <w:tcW w:type="dxa" w:w="2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‎obl.Covenant.CurrencyId‎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‎obl.Covenant.TestedCompanyId‎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‎obl.Covenant.SupersedesId‎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2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‎obl.CovenantAccount.CovenantId‎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‎obl.CovenantAccount.BankAccountId‎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‎obl.CovenantTest.FormulaId‎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‎obl.CovenantTest.EvaluatedBy‎</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‎obl.CovenantTest.EvidenceDocumentId‎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‎obl.CovenantTest.ReviewedBy‎</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‎obl.Obligation.FacilityId‎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‎obl.Obligation.ObligationTypeId‎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2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‎obl.Obligation.ScopeLimitId‎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‎obl.Obligation.ScopeProductLineId‎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2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‎obl.Obligation.ParamCurrencyId‎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‎obl.Obligation.SupersedesId‎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2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‎obl.Obligation.SourceDocumentId‎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‎obl.Obligation.VerifiedBy‎</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‎obl.Obligation.ConflictId‎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8" w:id="78"/>
      <w:r>
        <w:rPr>
          <w:rFonts w:ascii="Arial" w:cs="Arial" w:eastAsia="Arial" w:hAnsi="Arial"/>
          <w:b/>
          <w:bCs/>
          <w:color w:val="2B5C8A"/>
          <w:sz w:val="23"/>
          <w:szCs w:val="23"/>
          <w:rtl/>
        </w:rPr>
        <w:t xml:space="preserve">م5 · الالتزامات والتعهدات (2/2)</w:t>
      </w:r>
      <w:bookmarkEnd w:id="78"/>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29425"/>
            <wp:effectExtent t="0" r="0" b="0" l="0"/>
            <wp:docPr id="1" name="diagrams/erd/m5_obligations_2.png" descr="م5 · الالتزامات والتعهدات (2/2)" title="م5 · الالتزامات والتعه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6829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2"/>
        <w:gridCol w:w="2124"/>
        <w:gridCol w:w="2124"/>
        <w:gridCol w:w="821"/>
        <w:gridCol w:w="821"/>
        <w:gridCol w:w="821"/>
        <w:gridCol w:w="821"/>
      </w:tblGrid>
      <w:tr>
        <w:trPr>
          <w:cantSplit/>
          <w:tblHeader/>
        </w:trPr>
        <w:tc>
          <w:tcPr>
            <w:tcW w:type="dxa" w:w="2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record, its remedy and any waiver (FR-OBL-012, BR-OBL-009/011, section 8)</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the obligation applies to (AppliesToCompanyIds)</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ObligationId, CompanyId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Agenda item generated or logged for an event (FR-OBL-003..005, BR-OBL-003, section 8); DUE_SOON and OVERDUE are derived; a final status stays (044, DR-39)</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or notice-due rule, 1:1 with Obligation (FR-OBL-002/003, BR-OBL-002, V-OBL-01)</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5"/>
        <w:gridCol w:w="1789"/>
        <w:gridCol w:w="851"/>
        <w:gridCol w:w="851"/>
        <w:gridCol w:w="851"/>
        <w:gridCol w:w="851"/>
        <w:gridCol w:w="1166"/>
      </w:tblGrid>
      <w:tr>
        <w:trPr>
          <w:cantSplit/>
          <w:tblHeader/>
        </w:trPr>
        <w:tc>
          <w:tcPr>
            <w:tcW w:type="dxa" w:w="3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‎obl.ObligationBreach.ObligationId‎</w:t>
            </w:r>
          </w:p>
        </w:tc>
        <w:tc>
          <w:tcPr>
            <w:tcW w:type="dxa" w:w="1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‎obl.ObligationBreach.CovenantTestId‎</w:t>
            </w:r>
          </w:p>
        </w:tc>
        <w:tc>
          <w:tcPr>
            <w:tcW w:type="dxa" w:w="1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‎obl.ObligationBreach.ReportingInstanceId‎</w:t>
            </w:r>
          </w:p>
        </w:tc>
        <w:tc>
          <w:tcPr>
            <w:tcW w:type="dxa" w:w="1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‎obl.ObligationBreach.WaiverBankContactId‎</w:t>
            </w:r>
          </w:p>
        </w:tc>
        <w:tc>
          <w:tcPr>
            <w:tcW w:type="dxa" w:w="1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‎obl.ObligationBreach.WaiverDocumentId‎</w:t>
            </w:r>
          </w:p>
        </w:tc>
        <w:tc>
          <w:tcPr>
            <w:tcW w:type="dxa" w:w="1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‎obl.ObligationCompany.ObligationId‎</w:t>
            </w:r>
          </w:p>
        </w:tc>
        <w:tc>
          <w:tcPr>
            <w:tcW w:type="dxa" w:w="1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‎obl.ObligationCompany.CompanyId‎</w:t>
            </w:r>
          </w:p>
        </w:tc>
        <w:tc>
          <w:tcPr>
            <w:tcW w:type="dxa" w:w="1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‎obl.ReportingInstance.ReportingObligationId‎</w:t>
            </w:r>
          </w:p>
        </w:tc>
        <w:tc>
          <w:tcPr>
            <w:tcW w:type="dxa" w:w="1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‎obl.ReportingInstance.SubmissionChannelUsedId‎</w:t>
            </w:r>
          </w:p>
        </w:tc>
        <w:tc>
          <w:tcPr>
            <w:tcW w:type="dxa" w:w="1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‎obl.ReportingInstance.EvidenceDocumentId‎</w:t>
            </w:r>
          </w:p>
        </w:tc>
        <w:tc>
          <w:tcPr>
            <w:tcW w:type="dxa" w:w="1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‎obl.ReportingInstance.CurrencyId‎</w:t>
            </w:r>
          </w:p>
        </w:tc>
        <w:tc>
          <w:tcPr>
            <w:tcW w:type="dxa" w:w="1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‎obl.ReportingObligation.ObligationId‎</w:t>
            </w:r>
          </w:p>
        </w:tc>
        <w:tc>
          <w:tcPr>
            <w:tcW w:type="dxa" w:w="1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‎obl.ReportingObligation.SubmissionChannelId‎</w:t>
            </w:r>
          </w:p>
        </w:tc>
        <w:tc>
          <w:tcPr>
            <w:tcW w:type="dxa" w:w="1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‎obl.ReportingObligation.SupersedesId‎</w:t>
            </w:r>
          </w:p>
        </w:tc>
        <w:tc>
          <w:tcPr>
            <w:tcW w:type="dxa" w:w="1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م5 · البيانات المالية والأرصدة (1/2)</w:t>
      </w:r>
      <w:bookmarkEnd w:id="79"/>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181100"/>
            <wp:effectExtent t="0" r="0" b="0" l="0"/>
            <wp:docPr id="1" name="diagrams/erd/m5_financials_1.png" descr="م5 · البيانات المالية والأرصدة (1/2)" title="م5 · البيانات المالية والأرصد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1181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balance of an account in the account currency (FR-FIN-008, BR-FIN-005/006, V-FIN-02)</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transferred to the bank in a month; annual totals are computed automatically (FR-FIN-009/010, BR-FIN-007/008)</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statement header; highly confidential (FR-FIN-002/005/006, BR-FIN-001..004, section 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 statement line item; 39 items seeded; system items used in formulas cannot be deleted (FR-FIN-001, CatalogBase)</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57"/>
        <w:gridCol w:w="1949"/>
        <w:gridCol w:w="871"/>
        <w:gridCol w:w="871"/>
        <w:gridCol w:w="871"/>
        <w:gridCol w:w="871"/>
        <w:gridCol w:w="974"/>
      </w:tblGrid>
      <w:tr>
        <w:trPr>
          <w:cantSplit/>
          <w:tblHeader/>
        </w:trPr>
        <w:tc>
          <w:tcPr>
            <w:tcW w:type="dxa" w:w="3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‎fin.AccountMonthlyStat.BankAccountId‎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‎fin.AccountMonthlyStat.DocumentId‎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‎fin.BankFlowEntry.InstitutionId‎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‎fin.BankFlowEntry.FacilityId‎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‎fin.BankFlowEntry.CurrencyId‎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‎fin.BankFlowEntry.DocumentId‎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‎fin.FinancialStatement.CurrencyId‎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Basis, Assurance, PeriodType, PeriodEnd</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‎fin.FinancialStatement.SourceDocumentId‎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‎fin.FinancialStatement.PreparedBy‎</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‎fin.FinancialStatement.ApprovedBy‎</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0" w:id="80"/>
      <w:r>
        <w:rPr>
          <w:rFonts w:ascii="Arial" w:cs="Arial" w:eastAsia="Arial" w:hAnsi="Arial"/>
          <w:b/>
          <w:bCs/>
          <w:color w:val="2B5C8A"/>
          <w:sz w:val="23"/>
          <w:szCs w:val="23"/>
          <w:rtl/>
        </w:rPr>
        <w:t xml:space="preserve">م5 · البيانات المالية والأرصدة (2/2)</w:t>
      </w:r>
      <w:bookmarkEnd w:id="80"/>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2000250"/>
            <wp:effectExtent t="0" r="0" b="0" l="0"/>
            <wp:docPr id="1" name="diagrams/erd/m5_financials_2.png" descr="م5 · البيانات المالية والأرصدة (2/2)" title="م5 · البيانات المالية والأرصد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2000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7"/>
        <w:gridCol w:w="1847"/>
        <w:gridCol w:w="2258"/>
        <w:gridCol w:w="823"/>
        <w:gridCol w:w="823"/>
        <w:gridCol w:w="823"/>
        <w:gridCol w:w="823"/>
      </w:tblGrid>
      <w:tr>
        <w:trPr>
          <w:cantSplit/>
          <w:tblHeader/>
        </w:trPr>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names (aliases) for a line item, used for paste and matching</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LineCatalogItemAliasId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 formula: a template or a facility-agreement version with revisions; never executed as text (FR-FIN-011, BR-FIN-009, section 12)</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 line in the header currency; stored value = input x UnitScale; Variance is derived; highly confidential (BR-FIN-001/002)</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StatementLineId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5"/>
        <w:gridCol w:w="1934"/>
        <w:gridCol w:w="847"/>
        <w:gridCol w:w="847"/>
        <w:gridCol w:w="847"/>
        <w:gridCol w:w="847"/>
        <w:gridCol w:w="847"/>
      </w:tblGrid>
      <w:tr>
        <w:trPr>
          <w:cantSplit/>
          <w:tblHeader/>
        </w:trPr>
        <w:tc>
          <w:tcPr>
            <w:tcW w:type="dxa" w:w="36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‎fin.LineCatalogItemAlias.LineCatalogItemId‎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‎fin.MeasureFormula.FacilityId‎</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‎fin.MeasureFormula.BaseTemplateId‎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‎fin.MeasureFormula.ApprovedBy‎</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‎fin.MeasureFormula.SourceDocumentId‎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‎fin.MeasureFormula.VerifiedBy‎</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‎fin.MeasureFormula.ConflictId‎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‎fin.StatementLine.StatementId‎</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‎fin.StatementLine.LineCatalogItemId‎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10.8 م6 · الطلبات ودورات العمل والإشعارات</w:t>
      </w:r>
      <w:bookmarkEnd w:id="81"/>
    </w:p>
    <w:p>
      <w:pPr>
        <w:pStyle w:val="Heading3"/>
        <w:bidi/>
      </w:pPr>
      <w:bookmarkStart w:name="_sec82" w:id="82"/>
      <w:r>
        <w:rPr>
          <w:rFonts w:ascii="Arial" w:cs="Arial" w:eastAsia="Arial" w:hAnsi="Arial"/>
          <w:b/>
          <w:bCs/>
          <w:color w:val="2B5C8A"/>
          <w:sz w:val="23"/>
          <w:szCs w:val="23"/>
          <w:rtl/>
        </w:rPr>
        <w:t xml:space="preserve">م6 · قوالب دورات العمل (1/3)</w:t>
      </w:r>
      <w:bookmarkEnd w:id="82"/>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724150"/>
            <wp:effectExtent t="0" r="0" b="0" l="0"/>
            <wp:docPr id="1" name="diagrams/erd/m6_wf_templates_1.png" descr="م6 · قوالب دورات العمل (1/3)" title="م6 · قوالب دورات العمل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2724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8"/>
        <w:gridCol w:w="1979"/>
        <w:gridCol w:w="2187"/>
        <w:gridCol w:w="825"/>
        <w:gridCol w:w="825"/>
        <w:gridCol w:w="825"/>
        <w:gridCol w:w="825"/>
      </w:tblGrid>
      <w:tr>
        <w:trPr>
          <w:cantSplit/>
          <w:tblHeader/>
        </w:trPr>
        <w:tc>
          <w:tcPr>
            <w:tcW w:type="dxa" w:w="2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type definition (FR-REQ-001, BR-REQ-001, V-REQ-01); new types need no code (FR-REQ-021); its template is the current WorkflowTemplate of the type and its index fields the IndexRole fields of that template (DR-49)</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Audience of a request type: who may raise it; no rows = nobody (fail closed) (FR-REQ-007)</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Phase shown to the requester: DRAFT, IN_APPROVAL, RETURNED, AWAITING_REQUESTER, IN_PROGRESS, COMPLETED, REJECTED, CANCELLED (BR-WFL-011, D-6)</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version; a published version is immutable and its parts change only while it is a draft (044, DR-41) (FR-WFL-001/028, BR-WFL-019, AC-WFL-6)</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82"/>
        <w:gridCol w:w="1572"/>
        <w:gridCol w:w="882"/>
        <w:gridCol w:w="882"/>
        <w:gridCol w:w="882"/>
        <w:gridCol w:w="882"/>
        <w:gridCol w:w="882"/>
      </w:tblGrid>
      <w:tr>
        <w:trPr>
          <w:cantSplit/>
          <w:tblHeader/>
        </w:trPr>
        <w:tc>
          <w:tcPr>
            <w:tcW w:type="dxa" w:w="3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‎wfl.RequestTypeAudience.RoleId‎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‎wfl.RequestTypeAudience.DepartmentId‎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‎wfl.RequestTypeAudience.UserId‎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‎wfl.WorkflowTemplate.PublishedBy‎</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م6 · قوالب دورات العمل (2/3)</w:t>
      </w:r>
      <w:bookmarkEnd w:id="83"/>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33800"/>
            <wp:effectExtent t="0" r="0" b="0" l="0"/>
            <wp:docPr id="1" name="diagrams/erd/m6_wf_templates_2.png" descr="م6 · قوالب دورات العمل (2/3)" title="م6 · قوالب دورات العمل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3733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Stage in a template version (FR-WFL-003/004/005, BR-WFL-002/010/012); physical delete only for a draft version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Approval slot in an APPROVAL stage; ALL = every slot, and a role requiring two people together = two slots (FR-WFL-007/041, BR-WFL-003/004)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Transition between two stages with a condition and a priority; a linear flow with simple conditional branching (FR-WFL-006, BR-WFL-001, D-8)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Hook registered on a stage: a key and parameters, no code (FR-WFL-021, BR-WFL-015, section 5.4)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866"/>
        <w:gridCol w:w="879"/>
        <w:gridCol w:w="879"/>
        <w:gridCol w:w="879"/>
        <w:gridCol w:w="879"/>
        <w:gridCol w:w="933"/>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‎wfl.WorkflowStage.ExternalPhaseId‎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‎wfl.WorkflowStage.PoolPermissionId‎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‎wfl.WorkflowStage.AssigneeUserId‎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‎wfl.WorkflowStage.AssigneeDepartmentId‎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‎wfl.WorkflowStage.FallbackRoleId‎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‎wfl.StageApprover.UserId‎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‎wfl.StageApprover.DepartmentId‎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‎wfl.StageApprover.FallbackRoleId‎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‎wfl.WorkflowTransition.FromStageId‎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‎wfl.WorkflowTransition.ToStageId‎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‎wfl.WorkflowTransition.ResumeStageId‎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4" w:id="84"/>
      <w:r>
        <w:rPr>
          <w:rFonts w:ascii="Arial" w:cs="Arial" w:eastAsia="Arial" w:hAnsi="Arial"/>
          <w:b/>
          <w:bCs/>
          <w:color w:val="2B5C8A"/>
          <w:sz w:val="23"/>
          <w:szCs w:val="23"/>
          <w:rtl/>
        </w:rPr>
        <w:t xml:space="preserve">م6 · قوالب دورات العمل (3/3)</w:t>
      </w:r>
      <w:bookmarkEnd w:id="84"/>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352550"/>
            <wp:effectExtent t="0" r="0" b="0" l="0"/>
            <wp:docPr id="1" name="diagrams/erd/m6_wf_templates_3.png" descr="م6 · قوالب دورات العمل (3/3)" title="م6 · قوالب دورات العمل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1352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1"/>
        <w:gridCol w:w="1671"/>
        <w:gridCol w:w="2360"/>
        <w:gridCol w:w="818"/>
        <w:gridCol w:w="818"/>
        <w:gridCol w:w="818"/>
        <w:gridCol w:w="818"/>
      </w:tblGrid>
      <w:tr>
        <w:trPr>
          <w:cantSplit/>
          <w:tblHeader/>
        </w:trPr>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Field in a template version; the form UI is generated without code (FR-REQ-002..005, BR-REQ-003/004)</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Attachment rule on a template version (FR-REQ-006, BR-REQ-005, FR-WFL-024/025)</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2"/>
        <w:gridCol w:w="1832"/>
        <w:gridCol w:w="854"/>
        <w:gridCol w:w="854"/>
        <w:gridCol w:w="854"/>
        <w:gridCol w:w="854"/>
        <w:gridCol w:w="854"/>
      </w:tblGrid>
      <w:tr>
        <w:trPr>
          <w:cantSplit/>
          <w:tblHeader/>
        </w:trPr>
        <w:tc>
          <w:tcPr>
            <w:tcW w:type="dxa" w:w="3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‎wfl.TemplateField.TemplateId‎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‎wfl.TemplateAttachmentRule.TemplateId‎</w:t>
            </w:r>
          </w:p>
        </w:tc>
        <w:tc>
          <w:tcPr>
            <w:tcW w:type="dxa" w:w="1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‎wfl.TemplateAttachmentRule.DocumentTypeId‎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5" w:id="85"/>
      <w:r>
        <w:rPr>
          <w:rFonts w:ascii="Arial" w:cs="Arial" w:eastAsia="Arial" w:hAnsi="Arial"/>
          <w:b/>
          <w:bCs/>
          <w:color w:val="2B5C8A"/>
          <w:sz w:val="23"/>
          <w:szCs w:val="23"/>
          <w:rtl/>
        </w:rPr>
        <w:t xml:space="preserve">م6 · الطلبات وإجراءاتها (1/3)</w:t>
      </w:r>
      <w:bookmarkEnd w:id="85"/>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00800"/>
            <wp:effectExtent t="0" r="0" b="0" l="0"/>
            <wp:docPr id="1" name="diagrams/erd/m6_requests_1.png" descr="م6 · الطلبات وإجراءاتها (1/3)" title="م6 · الطلبات وإجراءاته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6400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8"/>
        <w:gridCol w:w="1715"/>
        <w:gridCol w:w="2287"/>
        <w:gridCol w:w="836"/>
        <w:gridCol w:w="836"/>
        <w:gridCol w:w="836"/>
        <w:gridCol w:w="836"/>
      </w:tblGrid>
      <w:tr>
        <w:trPr>
          <w:cantSplit/>
          <w:tblHeader/>
        </w:trPr>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the most heavily used table; the internal status is kept separate from the visible phase (FR-WFL-001, FR-REQ-009, D-6, BR-REQ-002/003)</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Comment visible to the requester or internal; the application prevents editing it, and withdrawal keeps the original (FR-REQ-017, BR-REQ-014)</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 request and creates a DocumentLink (EntityType = Request) (FR-REQ-006, BR-REQ-005)</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as free text; edits replace the value and keep the history; no external validation (FR-REQ-010, X-DAT-7, BR-REQ-006)</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00"/>
        <w:gridCol w:w="2073"/>
        <w:gridCol w:w="867"/>
        <w:gridCol w:w="867"/>
        <w:gridCol w:w="867"/>
        <w:gridCol w:w="867"/>
        <w:gridCol w:w="1123"/>
      </w:tblGrid>
      <w:tr>
        <w:trPr>
          <w:cantSplit/>
          <w:tblHeader/>
        </w:trPr>
        <w:tc>
          <w:tcPr>
            <w:tcW w:type="dxa" w:w="3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‎wfl.Request.RequestTypeId‎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‎wfl.Request.TemplateId‎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‎wfl.Request.CompanyId‎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‎wfl.Request.DepartmentId‎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‎wfl.Request.RequesterUserId‎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‎wfl.Request.CreatedByUserId‎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‎wfl.Request.SubmittedByUserId‎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‎wfl.Request.CurrentStageInstanceId‎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‎wfl.Request.ExternalPhaseId‎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‎wfl.Request.AssigneeUserId‎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‎wfl.Request.ClosedByUserId‎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‎wfl.Request.CurrencyId‎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‎wfl.Request.ProductId‎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‎wfl.Request.ParentRequestId‎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‎wfl.Request.CopiedFromRequestId‎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‎wfl.Request.FacilityId‎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‎wfl.Request.LimitProductLineId‎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‎wfl.Request.InstitutionId‎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‎wfl.Request.ReservationId‎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‎wfl.RequestComment.AuthorUserId‎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‎wfl.RequestComment.ParentCommentId‎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‎wfl.RequestComment.RetractedBy‎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‎wfl.RequestAttachment.DocumentId‎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‎wfl.RequestExternalRef.SupersededById‎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‎wfl.RequestExternalRef.EnteredBy‎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6" w:id="86"/>
      <w:r>
        <w:rPr>
          <w:rFonts w:ascii="Arial" w:cs="Arial" w:eastAsia="Arial" w:hAnsi="Arial"/>
          <w:b/>
          <w:bCs/>
          <w:color w:val="2B5C8A"/>
          <w:sz w:val="23"/>
          <w:szCs w:val="23"/>
          <w:rtl/>
        </w:rPr>
        <w:t xml:space="preserve">م6 · الطلبات وإجراءاتها (2/3)</w:t>
      </w:r>
      <w:bookmarkEnd w:id="86"/>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71875"/>
            <wp:effectExtent t="0" r="0" b="0" l="0"/>
            <wp:docPr id="1" name="diagrams/erd/m6_requests_2.png" descr="م6 · الطلبات وإجراءاتها (2/3)" title="م6 · الطلبات وإجراءاته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3571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6"/>
        <w:gridCol w:w="1994"/>
        <w:gridCol w:w="2194"/>
        <w:gridCol w:w="820"/>
        <w:gridCol w:w="820"/>
        <w:gridCol w:w="820"/>
        <w:gridCol w:w="820"/>
      </w:tblGrid>
      <w:tr>
        <w:trPr>
          <w:cantSplit/>
          <w:tblHeader/>
        </w:trPr>
        <w:tc>
          <w:tcPr>
            <w:tcW w:type="dxa" w:w="2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Entry of a request into a stage; source of the cycle-time, withdrawal and SLA metrics (BR-WFL-002/007/012, section 8)</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slot created per entry and cycle; a new cycle creates new slots (BR-WFL-003, FR-WFL-007/008/011)</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action log covering every event; separate from the security audit log (FR-WFL-033/034, section 6.2)</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 of a hook with an idempotency key; a repeat returns the stored result (FR-WFL-021, BR-WFL-015)</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2099"/>
        <w:gridCol w:w="869"/>
        <w:gridCol w:w="869"/>
        <w:gridCol w:w="869"/>
        <w:gridCol w:w="869"/>
        <w:gridCol w:w="87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‎wfl.RequestStageInstance.TemplateId‎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‎wfl.RequestStageInstance.AssigneeUserId‎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‎wfl.RequestStageInstance.ResumeStageId‎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‎wfl.RequestApproval.StageInstanceId‎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‎wfl.RequestApproval.AssignedRoleId‎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‎wfl.RequestApproval.ActedByUserId‎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‎wfl.RequestApproval.OnBehalfOfUserId‎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‎wfl.RequestApproval.DelegationId‎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‎wfl.RequestAction.ActorUserId‎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‎wfl.RequestAction.OnBehalfOfUserId‎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bl>
    <w:p>
      <w:pPr>
        <w:bidi/>
        <w:spacing w:after="120" w:before="0"/>
      </w:pPr>
    </w:p>
    <w:p>
      <w:pPr>
        <w:pStyle w:val="Heading3"/>
        <w:bidi/>
      </w:pPr>
      <w:bookmarkStart w:name="_sec87" w:id="87"/>
      <w:r>
        <w:rPr>
          <w:rFonts w:ascii="Arial" w:cs="Arial" w:eastAsia="Arial" w:hAnsi="Arial"/>
          <w:b/>
          <w:bCs/>
          <w:color w:val="2B5C8A"/>
          <w:sz w:val="23"/>
          <w:szCs w:val="23"/>
          <w:rtl/>
        </w:rPr>
        <w:t xml:space="preserve">م6 · الطلبات وإجراءاتها (3/3)</w:t>
      </w:r>
      <w:bookmarkEnd w:id="87"/>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4124325"/>
            <wp:effectExtent t="0" r="0" b="0" l="0"/>
            <wp:docPr id="1" name="diagrams/erd/m6_requests_3.png" descr="م6 · الطلبات وإجراءاتها (3/3)" title="م6 · الطلبات وإجراءاته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4124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672"/>
        <w:gridCol w:w="2229"/>
        <w:gridCol w:w="863"/>
        <w:gridCol w:w="863"/>
        <w:gridCol w:w="863"/>
        <w:gridCol w:w="863"/>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 delegation with a period and scope; no chained delegation (FR-WFL-020, BR-WFL-021, V-WFL-06)</w:t>
            </w:r>
          </w:p>
        </w:tc>
        <w:tc>
          <w:tcPr>
            <w:tcW w:type="dxa" w:w="2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UserDelegationId</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50"/>
        <w:gridCol w:w="1709"/>
        <w:gridCol w:w="901"/>
        <w:gridCol w:w="901"/>
        <w:gridCol w:w="901"/>
        <w:gridCol w:w="901"/>
        <w:gridCol w:w="901"/>
      </w:tblGrid>
      <w:tr>
        <w:trPr>
          <w:cantSplit/>
          <w:tblHeader/>
        </w:trPr>
        <w:tc>
          <w:tcPr>
            <w:tcW w:type="dxa" w:w="3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‎wfl.UserDelegation.FromUserId‎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‎wfl.UserDelegation.ToUserId‎</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‎wfl.UserDelegation.RequestTypeId‎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‎wfl.UserDelegation.RevokedBy‎</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8" w:id="88"/>
      <w:r>
        <w:rPr>
          <w:rFonts w:ascii="Arial" w:cs="Arial" w:eastAsia="Arial" w:hAnsi="Arial"/>
          <w:b/>
          <w:bCs/>
          <w:color w:val="2B5C8A"/>
          <w:sz w:val="23"/>
          <w:szCs w:val="23"/>
          <w:rtl/>
        </w:rPr>
        <w:t xml:space="preserve">م6 · الإشعارات (1/2)</w:t>
      </w:r>
      <w:bookmarkEnd w:id="88"/>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553075"/>
            <wp:effectExtent t="0" r="0" b="0" l="0"/>
            <wp:docPr id="1" name="diagrams/erd/m6_notifications_1.png" descr="م6 · الإشعارات (1/2)" title="م6 · الإشعار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5553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0"/>
        <w:gridCol w:w="2393"/>
        <w:gridCol w:w="2033"/>
        <w:gridCol w:w="807"/>
        <w:gridCol w:w="807"/>
        <w:gridCol w:w="807"/>
        <w:gridCol w:w="807"/>
      </w:tblGrid>
      <w:tr>
        <w:trPr>
          <w:cantSplit/>
          <w:tblHeader/>
        </w:trPr>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 batch for a user, channel and period; never sent empty (FR-NTF-014, BR-NTF-004, JOB-NTF-DIGEST)</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 for a user; the content carries no restricted values (FR-NTF-005/006/007/021, BR-NTF-001/002/007/008/011)</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 of a notification per channel, with status and retries (FR-NTF-019, BR-NTF-009, section 8)</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Event catalogue: specification 13 owns it for all modules, and modules seed their events into it (FR-NTF-001, section 9.2)</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1"/>
        <w:gridCol w:w="2198"/>
        <w:gridCol w:w="847"/>
        <w:gridCol w:w="847"/>
        <w:gridCol w:w="847"/>
        <w:gridCol w:w="847"/>
        <w:gridCol w:w="847"/>
      </w:tblGrid>
      <w:tr>
        <w:trPr>
          <w:cantSplit/>
          <w:tblHeader/>
        </w:trPr>
        <w:tc>
          <w:tcPr>
            <w:tcW w:type="dxa" w:w="3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‎ntf.DigestBatch.UserId‎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‎ntf.Notification.UserId‎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‎ntf.Notification.CompanyId‎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‎ntf.NotificationDelivery.NotificationId‎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‎ntf.NotificationDelivery.DigestBatchId‎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9" w:id="89"/>
      <w:r>
        <w:rPr>
          <w:rFonts w:ascii="Arial" w:cs="Arial" w:eastAsia="Arial" w:hAnsi="Arial"/>
          <w:b/>
          <w:bCs/>
          <w:color w:val="2B5C8A"/>
          <w:sz w:val="23"/>
          <w:szCs w:val="23"/>
          <w:rtl/>
        </w:rPr>
        <w:t xml:space="preserve">م6 · الإشعارات (2/2)</w:t>
      </w:r>
      <w:bookmarkEnd w:id="89"/>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0150"/>
            <wp:effectExtent t="0" r="0" b="0" l="0"/>
            <wp:docPr id="1" name="diagrams/erd/m6_notifications_2.png" descr="م6 · الإشعارات (2/2)" title="م6 · الإشعار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1200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6"/>
        <w:gridCol w:w="1595"/>
        <w:gridCol w:w="2393"/>
        <w:gridCol w:w="820"/>
        <w:gridCol w:w="820"/>
        <w:gridCol w:w="820"/>
        <w:gridCol w:w="820"/>
      </w:tblGrid>
      <w:tr>
        <w:trPr>
          <w:cantSplit/>
          <w:tblHeader/>
        </w:trPr>
        <w:tc>
          <w:tcPr>
            <w:tcW w:type="dxa" w:w="25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preference per event group and channel (FR-NTF-010, BR-NTF-003/014); mandatory notifications cannot be switched off in the application</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Recipient rule for an event; changes apply to subsequent events only (FR-NTF-003, BR-NTF-001, V-NTF-02)</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 template per (event, channel, language); deleting it reverts to the seed template (FR-NTF-012, FR-NTF-025)</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03"/>
        <w:gridCol w:w="2291"/>
        <w:gridCol w:w="854"/>
        <w:gridCol w:w="854"/>
        <w:gridCol w:w="854"/>
        <w:gridCol w:w="854"/>
        <w:gridCol w:w="854"/>
      </w:tblGrid>
      <w:tr>
        <w:trPr>
          <w:cantSplit/>
          <w:tblHeader/>
        </w:trPr>
        <w:tc>
          <w:tcPr>
            <w:tcW w:type="dxa" w:w="3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‎ntf.NotificationRule.RoleId‎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‎ntf.NotificationRule.PermissionId‎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0" w:id="90"/>
      <w:r>
        <w:rPr>
          <w:rFonts w:ascii="Arial" w:cs="Arial" w:eastAsia="Arial" w:hAnsi="Arial"/>
          <w:b/>
          <w:bCs/>
          <w:color w:val="2B5C8A"/>
          <w:sz w:val="26"/>
          <w:szCs w:val="26"/>
          <w:rtl/>
        </w:rPr>
        <w:t xml:space="preserve">10.9 م7/م8 · الاعتمادات المستندية والبروفورما</w:t>
      </w:r>
      <w:bookmarkEnd w:id="90"/>
    </w:p>
    <w:p>
      <w:pPr>
        <w:pStyle w:val="Heading3"/>
        <w:bidi/>
      </w:pPr>
      <w:bookmarkStart w:name="_sec91" w:id="91"/>
      <w:r>
        <w:rPr>
          <w:rFonts w:ascii="Arial" w:cs="Arial" w:eastAsia="Arial" w:hAnsi="Arial"/>
          <w:b/>
          <w:bCs/>
          <w:color w:val="2B5C8A"/>
          <w:sz w:val="23"/>
          <w:szCs w:val="23"/>
          <w:rtl/>
        </w:rPr>
        <w:t xml:space="preserve">م7/م8 · شروط الاعتماد والنماذج (1/3)</w:t>
      </w:r>
      <w:bookmarkEnd w:id="91"/>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14650"/>
            <wp:effectExtent t="0" r="0" b="0" l="0"/>
            <wp:docPr id="1" name="diagrams/erd/m7_8_lc_terms_1.png" descr="م7/م8 · شروط الاعتماد والنماذج (1/3)" title="م7/م8 · شروط الاعتماد والنماذج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291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2569"/>
        <w:gridCol w:w="1950"/>
        <w:gridCol w:w="823"/>
        <w:gridCol w:w="823"/>
        <w:gridCol w:w="823"/>
        <w:gridCol w:w="823"/>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Definition of a field in letter-of-credit terms: data seeded per tenant (FR-LCT-004, BR-LCT-002); UCP references are in lc.LcFieldUcpRef</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reference for a field: article and paragraph (UcpRefs in specification); feeds the badge, R-LCT-01 and BR-LCT-018</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LcFieldUcpRefId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lightweight supplier or customer without identity; promoted to Party when needed (FR-LCT-036/037, BR-LCT-022, Q-PTY-03)</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Document-clause library with versions: template text with parameters (FR-LCT-017..019, BR-LCT-012); UCP references are in lc.LcDocumentClauseUcpRef</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970"/>
        <w:gridCol w:w="869"/>
        <w:gridCol w:w="869"/>
        <w:gridCol w:w="869"/>
        <w:gridCol w:w="869"/>
        <w:gridCol w:w="869"/>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‎lc.LcFieldUcpRef.LcFieldDefinitionId‎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‎lc.LcFieldUcpRef.UcpArticleId‎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‎lc.Counterparty.CountryId‎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‎lc.Counterparty.PartyId‎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‎lc.Counterparty.MergedIntoId‎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‎lc.LcDocumentClause.InstitutionId‎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2" w:id="92"/>
      <w:r>
        <w:rPr>
          <w:rFonts w:ascii="Arial" w:cs="Arial" w:eastAsia="Arial" w:hAnsi="Arial"/>
          <w:b/>
          <w:bCs/>
          <w:color w:val="2B5C8A"/>
          <w:sz w:val="23"/>
          <w:szCs w:val="23"/>
          <w:rtl/>
        </w:rPr>
        <w:t xml:space="preserve">م7/م8 · شروط الاعتماد والنماذج (2/3)</w:t>
      </w:r>
      <w:bookmarkEnd w:id="92"/>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53175"/>
            <wp:effectExtent t="0" r="0" b="0" l="0"/>
            <wp:docPr id="1" name="diagrams/erd/m7_8_lc_terms_2.png" descr="م7/م8 · شروط الاعتماد والنماذج (2/3)" title="م7/م8 · شروط الاعتماد والنماذج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6353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2"/>
        <w:gridCol w:w="1770"/>
        <w:gridCol w:w="2360"/>
        <w:gridCol w:w="818"/>
        <w:gridCol w:w="818"/>
        <w:gridCol w:w="818"/>
        <w:gridCol w:w="818"/>
      </w:tblGrid>
      <w:tr>
        <w:trPr>
          <w:cantSplit/>
          <w:tblHeader/>
        </w:trPr>
        <w:tc>
          <w:tcPr>
            <w:tcW w:type="dxa" w:w="24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for a document clause: article and paragraph (UcpRefs in specification)</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LcDocumentClauseUcpRefId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terms version: one row per version, with the section 6.2 dictionary columns; shared by proforma, request, credit and amendment (FR-LCT-001..035); a locked version changes only in its treasury fields until TreasuryHash (044, DR-41)</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clause selected in the terms, with its parameters; written only while the terms are a draft (044, DR-41) (FR-LCT-018, BR-LCT-012)</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Charges per term: one row per category; six complete rows, checked by the application (V-LCT-12); written only while the terms are a draft (044, DR-41) (FR-LCT-020, BR-LCT-014)</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71"/>
        <w:gridCol w:w="1583"/>
        <w:gridCol w:w="861"/>
        <w:gridCol w:w="861"/>
        <w:gridCol w:w="861"/>
        <w:gridCol w:w="861"/>
        <w:gridCol w:w="1166"/>
      </w:tblGrid>
      <w:tr>
        <w:trPr>
          <w:cantSplit/>
          <w:tblHeader/>
        </w:trPr>
        <w:tc>
          <w:tcPr>
            <w:tcW w:type="dxa" w:w="3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‎lc.LcDocumentClauseUcpRef.LcDocumentClauseId‎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‎lc.LcDocumentClauseUcpRef.UcpArticleId‎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‎lc.LcTerms.EncKeyId‎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‎lc.LcTerms.HashKeyId‎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‎lc.LcTerms.CurrencyId‎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‎lc.LcTerms.IncotermId‎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‎lc.LcTerms.FacilityAccountId‎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‎lc.LcTerms.MarginSettlementAccountId‎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‎lc.LcTerms.ChargesAccountId‎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‎lc.LcTerms.PrevLcCurrencyId‎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‎lc.LcTerms.LockedBy‎</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‎lc.LcTerms.SupersedesTermsId‎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‎lc.LcTerms.CopiedFromTermsId‎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3" w:id="93"/>
      <w:r>
        <w:rPr>
          <w:rFonts w:ascii="Arial" w:cs="Arial" w:eastAsia="Arial" w:hAnsi="Arial"/>
          <w:b/>
          <w:bCs/>
          <w:color w:val="2B5C8A"/>
          <w:sz w:val="23"/>
          <w:szCs w:val="23"/>
          <w:rtl/>
        </w:rPr>
        <w:t xml:space="preserve">م7/م8 · شروط الاعتماد والنماذج (3/3)</w:t>
      </w:r>
      <w:bookmarkEnd w:id="93"/>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5638800" cy="8191500"/>
            <wp:effectExtent t="0" r="0" b="0" l="0"/>
            <wp:docPr id="1" name="diagrams/erd/m7_8_lc_terms_3.png" descr="م7/م8 · شروط الاعتماد والنماذج (3/3)" title="م7/م8 · شروط الاعتماد والنماذج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638800"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4"/>
        <w:gridCol w:w="1958"/>
        <w:gridCol w:w="2166"/>
        <w:gridCol w:w="859"/>
        <w:gridCol w:w="859"/>
        <w:gridCol w:w="859"/>
        <w:gridCol w:w="859"/>
      </w:tblGrid>
      <w:tr>
        <w:trPr>
          <w:cantSplit/>
          <w:tblHeader/>
        </w:trPr>
        <w:tc>
          <w:tcPr>
            <w:tcW w:type="dxa" w:w="23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 template per bank, product and form type, with version, effective period and contract annex (FR-LCT-026, BR-LCT-017, specification 02 F-14)</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3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Mapping of a system field to a PDF field or a portal-form item (FR-LCT-027, BR-LCT-020)</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04"/>
        <w:gridCol w:w="1700"/>
        <w:gridCol w:w="872"/>
        <w:gridCol w:w="872"/>
        <w:gridCol w:w="872"/>
        <w:gridCol w:w="872"/>
        <w:gridCol w:w="872"/>
      </w:tblGrid>
      <w:tr>
        <w:trPr>
          <w:cantSplit/>
          <w:tblHeader/>
        </w:trPr>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‎lc.LcFormTemplate.InstitutionId‎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‎lc.LcFormTemplate.ProductId‎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‎lc.LcFormTemplate.CompanyId‎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‎lc.LcFormTemplate.SourceDocumentId‎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‎lc.LcFormTemplate.AnnexDocumentId‎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‎lc.LcFormTemplate.LetterheadDocumentId‎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‎lc.LcFormFieldMap.TemplateId‎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4" w:id="94"/>
      <w:r>
        <w:rPr>
          <w:rFonts w:ascii="Arial" w:cs="Arial" w:eastAsia="Arial" w:hAnsi="Arial"/>
          <w:b/>
          <w:bCs/>
          <w:color w:val="2B5C8A"/>
          <w:sz w:val="23"/>
          <w:szCs w:val="23"/>
          <w:rtl/>
        </w:rPr>
        <w:t xml:space="preserve">م7/م8 · الاعتمادات والبروفورما (1/3)</w:t>
      </w:r>
      <w:bookmarkEnd w:id="94"/>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086475"/>
            <wp:effectExtent t="0" r="0" b="0" l="0"/>
            <wp:docPr id="1" name="diagrams/erd/m7_8_lc_ops_1.png" descr="م7/م8 · الاعتمادات والبروفورما (1/3)" title="م7/م8 · الاعتمادات والبروفورم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6086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6"/>
        <w:gridCol w:w="2368"/>
        <w:gridCol w:w="1992"/>
        <w:gridCol w:w="847"/>
        <w:gridCol w:w="847"/>
        <w:gridCol w:w="847"/>
        <w:gridCol w:w="847"/>
      </w:tblGrid>
      <w:tr>
        <w:trPr>
          <w:cantSplit/>
          <w:tblHeader/>
        </w:trPr>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record for both sides: purchases (we are the applicant) and sales (we are the beneficiary) (FR-LCI-011..016, FR-LCE-009, BR-LCI-004/008/016, BR-LCE-007/009)</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for a credit (ERP and similar); no uniqueness; search on the normalised value (FR-LCI-013, BR-REQ-006)</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to an issued or received letter of credit (FR-LCI-018/019, FR-LCE-020, BR-LCI-011/012, BR-LCE-014); statuses in section 8</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 or presentation of documents under a credit; for exports includes transfer of allocation (FR-LCI-023, BR-LCI-013, BR-LCE-011); statuses in section 8</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2"/>
        <w:gridCol w:w="1749"/>
        <w:gridCol w:w="869"/>
        <w:gridCol w:w="869"/>
        <w:gridCol w:w="869"/>
        <w:gridCol w:w="869"/>
        <w:gridCol w:w="1487"/>
      </w:tblGrid>
      <w:tr>
        <w:trPr>
          <w:cantSplit/>
          <w:tblHeader/>
        </w:trPr>
        <w:tc>
          <w:tcPr>
            <w:tcW w:type="dxa" w:w="3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‎lc.LetterOfCredit.CounterpartyId‎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‎lc.LetterOfCredit.RelationshipId‎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‎lc.LetterOfCredit.ProductId‎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‎lc.LetterOfCredit.LimitProductLineId‎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‎lc.LetterOfCredit.UtilizationId‎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‎lc.LetterOfCredit.ProformaId‎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LcClass, CurrencyId, TolerancePlusPct, ToleranceMinusPct</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‎lc.LcAmendment.CompanyId‎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‎lc.LcAmendment.LcId‎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‎lc.LcAmendment.TermsId‎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‎lc.LcAmendment.CurrencyId‎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‎lc.LcAmendment.AppliedBy‎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‎lc.LcDrawing.CompanyId‎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‎lc.LcDrawing.LcId‎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‎lc.LcDrawing.CurrencyId‎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‎lc.LcDrawing.SettlementAccountId‎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م7/م8 · الاعتمادات والبروفورما (2/3)</w:t>
      </w:r>
      <w:bookmarkEnd w:id="95"/>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57675"/>
            <wp:effectExtent t="0" r="0" b="0" l="0"/>
            <wp:docPr id="1" name="diagrams/erd/m7_8_lc_ops_2.png" descr="م7/م8 · الاعتمادات والبروفورما (2/3)" title="م7/م8 · الاعتمادات والبروفورم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4257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2"/>
        <w:gridCol w:w="2155"/>
        <w:gridCol w:w="2155"/>
        <w:gridCol w:w="823"/>
        <w:gridCol w:w="823"/>
        <w:gridCol w:w="823"/>
        <w:gridCol w:w="823"/>
      </w:tblGrid>
      <w:tr>
        <w:trPr>
          <w:cantSplit/>
          <w:tblHeader/>
        </w:trPr>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 sales order against a received credit; no credit limit corresponds to it (FR-LCE-013..015, BR-LCE-009..013); statuses in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an export drawing across sales orders (FR-LCE-016/017, BR-LCE-011/013)</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Discrepancy on presented or issued documents; the decision requires the lc.discrepancy.decide permission (FR-LCI-024, FR-LCE-021,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proforma invoice; after issue only its status, void reason and successor change (043, DR-41); number format {seq:000}-{erp}-{yy} (FR-LCE-005..008, BR-LCE-001..006)</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5"/>
        <w:gridCol w:w="1702"/>
        <w:gridCol w:w="882"/>
        <w:gridCol w:w="882"/>
        <w:gridCol w:w="882"/>
        <w:gridCol w:w="882"/>
        <w:gridCol w:w="1229"/>
      </w:tblGrid>
      <w:tr>
        <w:trPr>
          <w:cantSplit/>
          <w:tblHeader/>
        </w:trPr>
        <w:tc>
          <w:tcPr>
            <w:tcW w:type="dxa" w:w="3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‎lc.LcSalesOrder.CompanyId‎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‎lc.LcSalesOrder.LcId‎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‎lc.LcDrawingAllocation.SalesOrderId‎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‎lc.LcDiscrepancy.DecidedBy‎</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‎lc.ProformaInvoice.CompanyId‎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‎lc.ProformaInvoice.CustomerId‎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‎lc.ProformaInvoice.CurrencyId‎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‎lc.ProformaInvoice.TermsId‎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‎lc.ProformaInvoice.ProceedsAccountId‎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‎lc.ProformaInvoice.DocumentId‎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‎lc.ProformaInvoice.SupersededById‎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96" w:id="96"/>
      <w:r>
        <w:rPr>
          <w:rFonts w:ascii="Arial" w:cs="Arial" w:eastAsia="Arial" w:hAnsi="Arial"/>
          <w:b/>
          <w:bCs/>
          <w:color w:val="2B5C8A"/>
          <w:sz w:val="23"/>
          <w:szCs w:val="23"/>
          <w:rtl/>
        </w:rPr>
        <w:t xml:space="preserve">م7/م8 · الاعتمادات والبروفورما (3/3)</w:t>
      </w:r>
      <w:bookmarkEnd w:id="96"/>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333750"/>
            <wp:effectExtent t="0" r="0" b="0" l="0"/>
            <wp:docPr id="1" name="diagrams/erd/m7_8_lc_ops_3.png" descr="م7/م8 · الاعتمادات والبروفورما (3/3)" title="م7/م8 · الاعتمادات والبروفورم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333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2"/>
        <w:gridCol w:w="1605"/>
        <w:gridCol w:w="2423"/>
        <w:gridCol w:w="826"/>
        <w:gridCol w:w="826"/>
        <w:gridCol w:w="826"/>
        <w:gridCol w:w="826"/>
      </w:tblGrid>
      <w:tr>
        <w:trPr>
          <w:cantSplit/>
          <w:tblHeader/>
        </w:trPr>
        <w:tc>
          <w:tcPr>
            <w:tcW w:type="dxa" w:w="2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item in the proforma (FR-LCE-003, BR-LCE-001); fixed after issue: written once, in one statement, never updated; the totals match the lines (044, DR-41)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comparing received credit terms with the proforma (FR-LCT-031, FR-LCE-023, BR-LCT-021)</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 field difference, its verdict and the treasury decision (FR-LCT-031, BR-LCT-021)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891"/>
        <w:gridCol w:w="882"/>
        <w:gridCol w:w="882"/>
        <w:gridCol w:w="882"/>
        <w:gridCol w:w="882"/>
        <w:gridCol w:w="94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‎lc.ProformaLine.ProformaId‎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‎lc.LcTermsComparison.BaselineTermsId‎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‎lc.LcTermsComparison.ReceivedTermsId‎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‎lc.LcTermsComparison.RunBy‎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‎lc.LcTermsComparisonLine.ComparisonId‎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97" w:id="97"/>
      <w:r>
        <w:rPr>
          <w:rFonts w:ascii="Arial" w:cs="Arial" w:eastAsia="Arial" w:hAnsi="Arial"/>
          <w:b/>
          <w:bCs/>
          <w:color w:val="1F3A5F"/>
          <w:sz w:val="32"/>
          <w:szCs w:val="32"/>
          <w:rtl/>
        </w:rPr>
        <w:t xml:space="preserve">11. أنماط التصميم للمجالات الرئيسية</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98" w:id="98"/>
      <w:r>
        <w:rPr>
          <w:rFonts w:ascii="Arial" w:cs="Arial" w:eastAsia="Arial" w:hAnsi="Arial"/>
          <w:b/>
          <w:bCs/>
          <w:color w:val="2B5C8A"/>
          <w:sz w:val="26"/>
          <w:szCs w:val="26"/>
          <w:rtl/>
        </w:rPr>
        <w:t xml:space="preserve">11.1 إقفال دورة العمل بيد إدارة الخزينة (C-7)</w:t>
      </w:r>
      <w:bookmarkEnd w:id="98"/>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99" w:id="99"/>
      <w:r>
        <w:rPr>
          <w:rFonts w:ascii="Arial" w:cs="Arial" w:eastAsia="Arial" w:hAnsi="Arial"/>
          <w:b/>
          <w:bCs/>
          <w:color w:val="2B5C8A"/>
          <w:sz w:val="26"/>
          <w:szCs w:val="26"/>
          <w:rtl/>
        </w:rPr>
        <w:t xml:space="preserve">11.2 الملكية المتعددة والمراجع المركّبة (DR-04 · DR-06 · DR-09 · DR-10)</w:t>
      </w:r>
      <w:bookmarkEnd w:id="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100" w:id="100"/>
      <w:r>
        <w:rPr>
          <w:rFonts w:ascii="Arial" w:cs="Arial" w:eastAsia="Arial" w:hAnsi="Arial"/>
          <w:b/>
          <w:bCs/>
          <w:color w:val="2B5C8A"/>
          <w:sz w:val="26"/>
          <w:szCs w:val="26"/>
          <w:rtl/>
        </w:rPr>
        <w:t xml:space="preserve">11.3 الكتالوجات المملوكة للمشترك (DR-03 · DR-05 · DR-07)</w:t>
      </w:r>
      <w:bookmarkEnd w:id="100"/>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1"/>
        <w:bidi/>
      </w:pPr>
      <w:bookmarkStart w:name="_sec101" w:id="101"/>
      <w:r>
        <w:rPr>
          <w:rFonts w:ascii="Arial" w:cs="Arial" w:eastAsia="Arial" w:hAnsi="Arial"/>
          <w:b/>
          <w:bCs/>
          <w:color w:val="1F3A5F"/>
          <w:sz w:val="32"/>
          <w:szCs w:val="32"/>
          <w:rtl/>
        </w:rPr>
        <w:t xml:space="preserve">12. النشر وإدارة التغيير</w:t>
      </w:r>
      <w:bookmarkEnd w:id="101"/>
    </w:p>
    <w:p>
      <w:pPr>
        <w:pStyle w:val="Heading2"/>
        <w:bidi/>
      </w:pPr>
      <w:bookmarkStart w:name="_sec102" w:id="102"/>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10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not sa nor a sysadmin, the SQL Server build and Ubuntu</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release of versions.json (gate G4), BankFas present in its collation and empty;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The same thing by hand: cd db &amp;&amp; sqlcmd -S &lt;server&gt; -U &lt;login&gt; -I -b -i deploy.sql</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إنشاء القاعدة بـ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إن لم تكن موجودة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103" w:id="103"/>
      <w:r>
        <w:rPr>
          <w:rFonts w:ascii="Arial" w:cs="Arial" w:eastAsia="Arial" w:hAnsi="Arial"/>
          <w:b/>
          <w:bCs/>
          <w:color w:val="2B5C8A"/>
          <w:sz w:val="26"/>
          <w:szCs w:val="26"/>
          <w:rtl/>
        </w:rPr>
        <w:t xml:space="preserve">12.2 تغيير النموذج</w:t>
      </w:r>
      <w:bookmarkEnd w:id="103"/>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104" w:id="104"/>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104"/>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105" w:id="105"/>
      <w:r>
        <w:rPr>
          <w:rFonts w:ascii="Arial" w:cs="Arial" w:eastAsia="Arial" w:hAnsi="Arial"/>
          <w:b/>
          <w:bCs/>
          <w:color w:val="2B5C8A"/>
          <w:sz w:val="26"/>
          <w:szCs w:val="26"/>
          <w:rtl/>
        </w:rPr>
        <w:t xml:space="preserve">12.4 الأداء والحمل</w:t>
      </w:r>
      <w:bookmarkEnd w:id="105"/>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106" w:id="106"/>
      <w:r>
        <w:rPr>
          <w:rFonts w:ascii="Arial" w:cs="Arial" w:eastAsia="Arial" w:hAnsi="Arial"/>
          <w:b/>
          <w:bCs/>
          <w:color w:val="1F3A5F"/>
          <w:sz w:val="32"/>
          <w:szCs w:val="32"/>
          <w:rtl/>
        </w:rPr>
        <w:t xml:space="preserve">13. البذور وتهيئة المشترك</w:t>
      </w:r>
      <w:bookmarkEnd w:id="1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(ستة مفاتيح أمنية، 30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(138 صلاحية،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107" w:id="107"/>
      <w:r>
        <w:rPr>
          <w:rFonts w:ascii="Arial" w:cs="Arial" w:eastAsia="Arial" w:hAnsi="Arial"/>
          <w:b/>
          <w:bCs/>
          <w:color w:val="1F3A5F"/>
          <w:sz w:val="32"/>
          <w:szCs w:val="32"/>
          <w:rtl/>
        </w:rPr>
        <w:t xml:space="preserve">14. أدلة التحقق وحدودها (بصراحة)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2"/>
        <w:gridCol w:w="5007"/>
        <w:gridCol w:w="1745"/>
      </w:tblGrid>
      <w:tr>
        <w:trPr>
          <w:cantSplit/>
          <w:tblHeader/>
        </w:trPr>
        <w:tc>
          <w:tcPr>
            <w:tcW w:type="dxa" w:w="31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199 جدولًا / 3,370 عمودًا؛ لا مراجع معلّقة؛ لا مخالفة لقواعد النطاق</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763 مفتاحًا أجنبيًا / 691 قيد فريد أو أساسي (تشغيل سابق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198 جدولًا، 249 منحة مولّدة، 83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مطابقة الكائنات المنشورة مع DDL المولَّد</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التدفق المالي)</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‎db/tests/tenant_isolation_tests.sql‎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‎db/tests/auth_flow_tests.sql‎</w:t>
            </w:r>
            <w:r>
              <w:rPr>
                <w:rFonts w:ascii="Arial" w:cs="Arial" w:eastAsia="Arial" w:hAnsi="Arial"/>
                <w:b w:val="false"/>
                <w:bCs w:val="false"/>
                <w:sz w:val="18"/>
                <w:szCs w:val="18"/>
                <w:rtl/>
              </w:rPr>
              <w:t xml:space="preserve"> 20 حالة (حسابات المستخدمين وإعدادات المشترك، ADR 0003 و0004) و</w:t>
            </w:r>
            <w:r>
              <w:rPr>
                <w:rFonts w:ascii="Courier New" w:cs="Courier New" w:eastAsia="Courier New" w:hAnsi="Courier New"/>
                <w:b w:val="false"/>
                <w:bCs w:val="false"/>
                <w:color w:val="1F2937"/>
                <w:sz w:val="16"/>
                <w:szCs w:val="16"/>
                <w:shd w:fill="F1F3F5" w:color="auto" w:val="clear"/>
                <w:rtl/>
              </w:rPr>
              <w:t xml:space="preserve">‎db/tests/operator_support_tests.sql‎</w:t>
            </w:r>
            <w:r>
              <w:rPr>
                <w:rFonts w:ascii="Arial" w:cs="Arial" w:eastAsia="Arial" w:hAnsi="Arial"/>
                <w:b w:val="false"/>
                <w:bCs w:val="false"/>
                <w:sz w:val="18"/>
                <w:szCs w:val="18"/>
                <w:rtl/>
              </w:rPr>
              <w:t xml:space="preserve"> 11 حالة و</w:t>
            </w:r>
            <w:r>
              <w:rPr>
                <w:rFonts w:ascii="Courier New" w:cs="Courier New" w:eastAsia="Courier New" w:hAnsi="Courier New"/>
                <w:b w:val="false"/>
                <w:bCs w:val="false"/>
                <w:color w:val="1F2937"/>
                <w:sz w:val="16"/>
                <w:szCs w:val="16"/>
                <w:shd w:fill="F1F3F5" w:color="auto" w:val="clear"/>
                <w:rtl/>
              </w:rPr>
              <w:t xml:space="preserve">‎db/tests/job_context_tests.sql‎</w:t>
            </w:r>
            <w:r>
              <w:rPr>
                <w:rFonts w:ascii="Arial" w:cs="Arial" w:eastAsia="Arial" w:hAnsi="Arial"/>
                <w:b w:val="false"/>
                <w:bCs w:val="false"/>
                <w:sz w:val="18"/>
                <w:szCs w:val="18"/>
                <w:rtl/>
              </w:rPr>
              <w:t xml:space="preserve"> 7 حالات و</w:t>
            </w:r>
            <w:r>
              <w:rPr>
                <w:rFonts w:ascii="Courier New" w:cs="Courier New" w:eastAsia="Courier New" w:hAnsi="Courier New"/>
                <w:b w:val="false"/>
                <w:bCs w:val="false"/>
                <w:color w:val="1F2937"/>
                <w:sz w:val="16"/>
                <w:szCs w:val="16"/>
                <w:shd w:fill="F1F3F5" w:color="auto" w:val="clear"/>
                <w:rtl/>
              </w:rPr>
              <w:t xml:space="preserve">‎db/tests/tenant_onboarding_tests.sql‎</w:t>
            </w:r>
            <w:r>
              <w:rPr>
                <w:rFonts w:ascii="Arial" w:cs="Arial" w:eastAsia="Arial" w:hAnsi="Arial"/>
                <w:b w:val="false"/>
                <w:bCs w:val="false"/>
                <w:sz w:val="18"/>
                <w:szCs w:val="18"/>
                <w:rtl/>
              </w:rPr>
              <w:t xml:space="preserve"> 5 حالات (ADR 0004) و</w:t>
            </w:r>
            <w:r>
              <w:rPr>
                <w:rFonts w:ascii="Courier New" w:cs="Courier New" w:eastAsia="Courier New" w:hAnsi="Courier New"/>
                <w:b w:val="false"/>
                <w:bCs w:val="false"/>
                <w:color w:val="1F2937"/>
                <w:sz w:val="16"/>
                <w:szCs w:val="16"/>
                <w:shd w:fill="F1F3F5" w:color="auto" w:val="clear"/>
                <w:rtl/>
              </w:rPr>
              <w:t xml:space="preserve">‎db/tests/numbering_tests.sql‎</w:t>
            </w:r>
            <w:r>
              <w:rPr>
                <w:rFonts w:ascii="Arial" w:cs="Arial" w:eastAsia="Arial" w:hAnsi="Arial"/>
                <w:b w:val="false"/>
                <w:bCs w:val="false"/>
                <w:sz w:val="18"/>
                <w:szCs w:val="18"/>
                <w:rtl/>
              </w:rPr>
              <w:t xml:space="preserve"> 8 حالات مع فحص تزامن بستة اتصالات (</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114 رقمًا من 1 إلى 114 بلا تكرار ولا فجوة بعد 36 تراجعًا، ADR 0005) و</w:t>
            </w:r>
            <w:r>
              <w:rPr>
                <w:rFonts w:ascii="Courier New" w:cs="Courier New" w:eastAsia="Courier New" w:hAnsi="Courier New"/>
                <w:b w:val="false"/>
                <w:bCs w:val="false"/>
                <w:color w:val="1F2937"/>
                <w:sz w:val="16"/>
                <w:szCs w:val="16"/>
                <w:shd w:fill="F1F3F5" w:color="auto" w:val="clear"/>
                <w:rtl/>
              </w:rPr>
              <w:t xml:space="preserve">‎db/tests/kyc_history_tests.sql‎</w:t>
            </w:r>
            <w:r>
              <w:rPr>
                <w:rFonts w:ascii="Arial" w:cs="Arial" w:eastAsia="Arial" w:hAnsi="Arial"/>
                <w:b w:val="false"/>
                <w:bCs w:val="false"/>
                <w:sz w:val="18"/>
                <w:szCs w:val="18"/>
                <w:rtl/>
              </w:rPr>
              <w:t xml:space="preserve"> 4 حالات (الحذف المتتالي ونسخ ملفات الاكتمال، ADR 0006) و</w:t>
            </w:r>
            <w:r>
              <w:rPr>
                <w:rFonts w:ascii="Courier New" w:cs="Courier New" w:eastAsia="Courier New" w:hAnsi="Courier New"/>
                <w:b w:val="false"/>
                <w:bCs w:val="false"/>
                <w:color w:val="1F2937"/>
                <w:sz w:val="16"/>
                <w:szCs w:val="16"/>
                <w:shd w:fill="F1F3F5" w:color="auto" w:val="clear"/>
                <w:rtl/>
              </w:rPr>
              <w:t xml:space="preserve">‎db/tests/reference_data_tests.sql‎</w:t>
            </w:r>
            <w:r>
              <w:rPr>
                <w:rFonts w:ascii="Arial" w:cs="Arial" w:eastAsia="Arial" w:hAnsi="Arial"/>
                <w:b w:val="false"/>
                <w:bCs w:val="false"/>
                <w:sz w:val="18"/>
                <w:szCs w:val="18"/>
                <w:rtl/>
              </w:rPr>
              <w:t xml:space="preserve"> 4 حالات (قراءة المشترك للقوائم العالمية ومواد UCP، ومنعه من كتابتها) و</w:t>
            </w:r>
            <w:r>
              <w:rPr>
                <w:rFonts w:ascii="Courier New" w:cs="Courier New" w:eastAsia="Courier New" w:hAnsi="Courier New"/>
                <w:b w:val="false"/>
                <w:bCs w:val="false"/>
                <w:color w:val="1F2937"/>
                <w:sz w:val="16"/>
                <w:szCs w:val="16"/>
                <w:shd w:fill="F1F3F5" w:color="auto" w:val="clear"/>
                <w:rtl/>
              </w:rPr>
              <w:t xml:space="preserve">‎db/tests/audit_trail_tests.sql‎</w:t>
            </w:r>
            <w:r>
              <w:rPr>
                <w:rFonts w:ascii="Arial" w:cs="Arial" w:eastAsia="Arial" w:hAnsi="Arial"/>
                <w:b w:val="false"/>
                <w:bCs w:val="false"/>
                <w:sz w:val="18"/>
                <w:szCs w:val="18"/>
                <w:rtl/>
              </w:rPr>
              <w:t xml:space="preserve"> 7 حالات (صفوف التدقيق التي تكتبها القاعدة، ADR 0007) و</w:t>
            </w:r>
            <w:r>
              <w:rPr>
                <w:rFonts w:ascii="Courier New" w:cs="Courier New" w:eastAsia="Courier New" w:hAnsi="Courier New"/>
                <w:b w:val="false"/>
                <w:bCs w:val="false"/>
                <w:color w:val="1F2937"/>
                <w:sz w:val="16"/>
                <w:szCs w:val="16"/>
                <w:shd w:fill="F1F3F5" w:color="auto" w:val="clear"/>
                <w:rtl/>
              </w:rPr>
              <w:t xml:space="preserve">‎db/tests/data_export_tests.sql‎</w:t>
            </w:r>
            <w:r>
              <w:rPr>
                <w:rFonts w:ascii="Arial" w:cs="Arial" w:eastAsia="Arial" w:hAnsi="Arial"/>
                <w:b w:val="false"/>
                <w:bCs w:val="false"/>
                <w:sz w:val="18"/>
                <w:szCs w:val="18"/>
                <w:rtl/>
              </w:rPr>
              <w:t xml:space="preserve"> 6 حالات (التصدير في المعلّق والمغلق، ADR 0008) و</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فحوص (حسابات الخدمة بأسرارها وصلاحياتها، ADR 0009) و</w:t>
            </w:r>
            <w:r>
              <w:rPr>
                <w:rFonts w:ascii="Courier New" w:cs="Courier New" w:eastAsia="Courier New" w:hAnsi="Courier New"/>
                <w:b w:val="false"/>
                <w:bCs w:val="false"/>
                <w:color w:val="1F2937"/>
                <w:sz w:val="16"/>
                <w:szCs w:val="16"/>
                <w:shd w:fill="F1F3F5" w:color="auto" w:val="clear"/>
                <w:rtl/>
              </w:rPr>
              <w:t xml:space="preserve">‎db/tests/review_fixes_tests.sql‎</w:t>
            </w:r>
            <w:r>
              <w:rPr>
                <w:rFonts w:ascii="Arial" w:cs="Arial" w:eastAsia="Arial" w:hAnsi="Arial"/>
                <w:b w:val="false"/>
                <w:bCs w:val="false"/>
                <w:sz w:val="18"/>
                <w:szCs w:val="18"/>
                <w:rtl/>
              </w:rPr>
              <w:t xml:space="preserve"> 34 حالة (إصلاحات المراجعة وشروط دخول الشرائح S1 إلى S4، ADR 0011) و</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7 فحوص (تدقيق الخادم ونوافذه وقواعد AL-18، ADR 0012) و</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فحوص (حساب المراقبة بصلاحيات العرض وحدها، ADR 0013) و</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5 فحوص (الفحص التمهيدي للنشر وبوابة G4، ADR 0014) و</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6 حالات، وكلها تمر في CI</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108" w:id="108"/>
      <w:r>
        <w:rPr>
          <w:rFonts w:ascii="Arial" w:cs="Arial" w:eastAsia="Arial" w:hAnsi="Arial"/>
          <w:b/>
          <w:bCs/>
          <w:color w:val="1F3A5F"/>
          <w:sz w:val="32"/>
          <w:szCs w:val="32"/>
          <w:rtl/>
        </w:rPr>
        <w:t xml:space="preserve">15. القرارات المتخذة (تُعتمد ما لم تعترض)</w:t>
      </w:r>
      <w:bookmarkEnd w:id="1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109" w:id="109"/>
      <w:r>
        <w:rPr>
          <w:rFonts w:ascii="Arial" w:cs="Arial" w:eastAsia="Arial" w:hAnsi="Arial"/>
          <w:b/>
          <w:bCs/>
          <w:color w:val="1F3A5F"/>
          <w:sz w:val="32"/>
          <w:szCs w:val="32"/>
          <w:rtl/>
        </w:rPr>
        <w:t xml:space="preserve">16. حدود معروفة ونقاط مفتوحة</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2"/>
        <w:gridCol w:w="3998"/>
        <w:gridCol w:w="1486"/>
        <w:gridCol w:w="3438"/>
      </w:tblGrid>
      <w:tr>
        <w:trPr>
          <w:cantSplit/>
          <w:tblHeader/>
        </w:trPr>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مع 48 حالة عزل و6 لقاعدة الحصص و34 لإصلاحات المراجعة، في 22 خطوة</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ويبقى مؤجلًا مرساة البصمة الخارجية (مع O-13) وفحص المفاتيح المتقاعدة (DR-20)</w:t>
            </w:r>
          </w:p>
        </w:tc>
      </w:tr>
    </w:tbl>
    <w:p>
      <w:pPr>
        <w:bidi/>
        <w:spacing w:after="120" w:before="0"/>
      </w:pPr>
    </w:p>
    <w:p>
      <w:pPr>
        <w:pStyle w:val="Heading1"/>
        <w:bidi/>
      </w:pPr>
      <w:bookmarkStart w:name="_sec110" w:id="110"/>
      <w:r>
        <w:rPr>
          <w:rFonts w:ascii="Arial" w:cs="Arial" w:eastAsia="Arial" w:hAnsi="Arial"/>
          <w:b/>
          <w:bCs/>
          <w:color w:val="1F3A5F"/>
          <w:sz w:val="32"/>
          <w:szCs w:val="32"/>
          <w:rtl/>
        </w:rPr>
        <w:t xml:space="preserve">17. الخطوة التالية</w:t>
      </w:r>
      <w:bookmarkEnd w:id="110"/>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p>
      <w:pPr>
        <w:pStyle w:val="Heading1"/>
        <w:bidi/>
      </w:pPr>
      <w:bookmarkStart w:name="_sec111" w:id="111"/>
      <w:r>
        <w:rPr>
          <w:rFonts w:ascii="Arial" w:cs="Arial" w:eastAsia="Arial" w:hAnsi="Arial"/>
          <w:b/>
          <w:bCs/>
          <w:color w:val="1F3A5F"/>
          <w:sz w:val="32"/>
          <w:szCs w:val="32"/>
          <w:rtl/>
        </w:rPr>
        <w:t xml:space="preserve">18. مراجعة التصميم (Design review)</w:t>
      </w:r>
      <w:bookmarkEnd w:id="111"/>
    </w:p>
    <w:p>
      <w:pPr>
        <w:bidi/>
        <w:spacing w:after="110" w:before="0" w:line="312"/>
      </w:pPr>
      <w:r>
        <w:rPr>
          <w:rFonts w:ascii="Arial" w:cs="Arial" w:eastAsia="Arial" w:hAnsi="Arial"/>
          <w:b w:val="false"/>
          <w:bCs w:val="false"/>
          <w:sz w:val="21"/>
          <w:szCs w:val="21"/>
          <w:rtl/>
        </w:rPr>
        <w:t xml:space="preserve">أجرى فريق من خمسة مهندسي قواعد بيانات مراجعة مستقلة لكل مجموعة وحدات، فحصت كل جدول وكل علاقة مفتاح أجنبي على أسس النمذجة العلائقية: التطبيع، والمفاتيح، والإلزام والعدد، وسلامة المرجع، والعزل بين المشتركين، والتكرار، والفهرسة، والحساسية، ودلالات دورة العمل. النتائج مسجَّلة بمعرّفاتها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وتحمل كل نتيجة مرجع السطر في النموذج أو في DDL.</w:t>
      </w:r>
    </w:p>
    <w:p>
      <w:pPr>
        <w:bidi/>
        <w:spacing w:after="110" w:before="0" w:line="312"/>
      </w:pPr>
      <w:r>
        <w:rPr>
          <w:rFonts w:ascii="Arial" w:cs="Arial" w:eastAsia="Arial" w:hAnsi="Arial"/>
          <w:b/>
          <w:bCs/>
          <w:sz w:val="21"/>
          <w:szCs w:val="21"/>
          <w:rtl/>
        </w:rPr>
        <w:t xml:space="preserve">الإجمالي: 50 نتيجة — حرجة 10 · رئيسية 36 · طفيفة 4.</w:t>
      </w:r>
      <w:r>
        <w:rPr>
          <w:rFonts w:ascii="Arial" w:cs="Arial" w:eastAsia="Arial" w:hAnsi="Arial"/>
          <w:b w:val="false"/>
          <w:bCs w:val="false"/>
          <w:sz w:val="21"/>
          <w:szCs w:val="21"/>
          <w:rtl/>
        </w:rPr>
        <w:t xml:space="preserve"> الحرجة مُطبَّقة في النموذج والـDDL (C-12)، والرئيسية والطفيفة قرّرها المالك في 2026-10-13 (O-15، §18.3)، ويتحقق من التصريحي منها آليًا.</w:t>
      </w:r>
    </w:p>
    <w:p>
      <w:pPr>
        <w:pStyle w:val="Heading2"/>
        <w:bidi/>
      </w:pPr>
      <w:bookmarkStart w:name="_sec112" w:id="112"/>
      <w:r>
        <w:rPr>
          <w:rFonts w:ascii="Arial" w:cs="Arial" w:eastAsia="Arial" w:hAnsi="Arial"/>
          <w:b/>
          <w:bCs/>
          <w:color w:val="2B5C8A"/>
          <w:sz w:val="26"/>
          <w:szCs w:val="26"/>
          <w:rtl/>
        </w:rPr>
        <w:t xml:space="preserve">18.1 النتائج الحرجة</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2"/>
        <w:gridCol w:w="2687"/>
        <w:gridCol w:w="882"/>
        <w:gridCol w:w="2683"/>
        <w:gridCol w:w="1848"/>
        <w:gridCol w:w="882"/>
      </w:tblGrid>
      <w:tr>
        <w:trPr>
          <w:cantSplit/>
          <w:tblHeader/>
        </w:trPr>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DR-01</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‎plat.TenantModule.IsEnabled‎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Entitlement rows are tenant-owned (no global flag;</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TenantModule platform-owned: declare it global with an explicit TenantId FK to plat.Tenant (global noapp is a legal target), expose it to tp_app only through a view filtered on SESSION_CONTEXT('TenantId') with SELECT only, a…</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DR-02</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MfaKeyId (model line 126, comment 'DATA key that encrypted the MFA secret') and doc.DocumentVersion.KeyId (line 378, 'file encryption key') reference sec.TenantKey through a composite FK on (TenantId, TenantKeyId) only (db/genera…</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UNIQUE (TenantId, TenantKeyId, Purpose) on sec.TenantKey.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DR-03</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‎cat.LookupItem.LookupItemId (targeted by 13 in-scope FKs)‎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'mixed' (12-institutions-accounts-catalogs.model:255;</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referenced items tenant-owned: materialise the seeded global items per tenant so every LookupItem row has TenantId NOT NULL, and emit composite FKs (TenantId, X) -&gt; (TenantId, LookupItemId).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DR-04</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‎pty.Address.OwnerType, OwnerId‎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OwnerType+OwnerId is a polymorphic owner (PARTY/INSTITUTION/UNIT/CONTACT;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OwnerType/OwnerId pair with exclusive-arc columns (PartyId, InstitutionId, UnitId, ContactId), each a composite FK (TenantId, X) -&gt; (TenantId, X), with a CHECK that exactly one is non-null;</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DR-05</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 (mixed) and cat.LookupList (mixed); 13 tenant tables reference LookupItem.LookupListId / *ItemId referencing columns‎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and cat.LookupList are mixed (model 12:247-256), so their references are simple FKs with no TenantId (DDL 002:232 FK_LookupItem_LookupListId;</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cat.LookupItem tenant-owned.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DR-06</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 (ScopeLimitProductLineId); cmp.TermValue (LimitProductLineId).ScopeLimitProductLineId,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are declared via=FacilityId only (model 13:438 and 13:561;</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 both to via=FacilityId,LimitId so the composite key is (TenantId, FacilityId, LimitId,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DR-07</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declared mixed (db/model/12 line 255: TenantId NULL = global, otherwise tenant-owned), but the generator emits FKs into it as simple keys on LookupItemId alone: db/generated/tsql/002_foreign_keys.sql:524 (fin.Ba…</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Give each tenant its own copies of the global lookup items it uses (section 13 tenant initialisation already creates per-tenant catalogs), then make the references composite (TenantId, LookupItemId) to cat.LookupItem(TenantId, Lo…</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Attributes is an unclassified json column (db/model/14 line 32).</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 the cash-margin account as a typed FK to acc.BankAccount using the via pattern of acc.BankAccount.RelationshipId.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DR-09</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stage reference is bound to the tenant only.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TemplateId (req, copied from the request at entry) to wfl.RequestStageInstance and declare StageId and ResumeStageId as -&gt;wfl.WorkflowStage via=TemplateId (the WorkflowStage scope unique already exists, DDL 001_tables.sql:467…</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DR-10</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-&gt; lc.LetterOfCredit is generated as (TenantId, LcId) only (DDL 002_foreign_keys.sql:587), so a request of company A can be linked to a letter of credit of company B inside the same tenant.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Request.LcId -&gt;lc.LetterOfCredit via=CompanyId.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bl>
    <w:p>
      <w:pPr>
        <w:bidi/>
        <w:spacing w:after="120" w:before="0"/>
      </w:pPr>
    </w:p>
    <w:p>
      <w:pPr>
        <w:pStyle w:val="Heading2"/>
        <w:bidi/>
      </w:pPr>
      <w:bookmarkStart w:name="_sec113" w:id="113"/>
      <w:r>
        <w:rPr>
          <w:rFonts w:ascii="Arial" w:cs="Arial" w:eastAsia="Arial" w:hAnsi="Arial"/>
          <w:b/>
          <w:bCs/>
          <w:color w:val="2B5C8A"/>
          <w:sz w:val="26"/>
          <w:szCs w:val="26"/>
          <w:rtl/>
        </w:rPr>
        <w:t xml:space="preserve">18.2 النتائج الرئيسية والطفيفة</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0"/>
        <w:gridCol w:w="1954"/>
        <w:gridCol w:w="840"/>
        <w:gridCol w:w="858"/>
        <w:gridCol w:w="2145"/>
        <w:gridCol w:w="2387"/>
        <w:gridCol w:w="840"/>
      </w:tblGrid>
      <w:tr>
        <w:trPr>
          <w:cantSplit/>
          <w:tblHeader/>
        </w:trPr>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‎doc.DocumentVersion.StorageKey‎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storage path is unique only per tenant (UQ_DocumentVersion_StorageKey = UNIQUE (TenantId, StorageKey), db/generated/tsql/001_tables.sql:609), yet the design (6.4) describes one shared file store.</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StorageKey globally unique and add CHECK (StorageKey LIKE CAST(TenantId AS varchar(10)) + '/%').</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 is a bare bigint commented 'the corresponding event in AuditLog' (model line 332) with no reference.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composite FK (TenantId, AuditLogId) -&gt; aud.AuditLog (TenantId, 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restricted export (IncludesRestricted = 1: identity numbers and images) can be approved by its own requester.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(ApprovedBy IS NULL OR ApprovedBy &lt;&gt; RequestedBy), a pairing CHECK between ApprovedBy and ApprovedAt, and CHECK (Status &lt;&gt; 'READY' OR ExpiresAt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has five values, but no CHECK ties the lease and completion fields to them;</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&lt;&gt; 'PROCESSING' OR (LockedBy IS NOT NULL AND LockedUntil IS NOT NULL)), CHECK (Status &lt;&gt; 'DELIVERED' OR DeliveredAt IS NOT NULL) and CHECK (Status &lt;&gt; 'DEAD' OR LastError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‎plat.SupportAccessGrant.EndsAt‎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1 to 72 hour window (BR-PLT-017) is enforced only in the application;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(DATEDIFF(MINUTE, StartsAt, EndsAt) BETWEEN 60 AND 4320).</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‎sec.Permission.LockedToRoleCodes‎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LockedToRoleCodes (json, e.g.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lock with a junction table keyed on a stable role identity (SeedKey or a global role catalog) and enforce it with a trigger on sec.RolePermission.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TenantSetting.Key (ascii(100), unique per tenant) has no foreign key to cfg.SettingDefinition.Key.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simple FK (Key) -&gt; cfg.SettingDefinition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 is a stored copy of a rule the database never evaluates: the model comment says RESTRICTED if the type is IsSensitive (line 354), but the only CHECK is enum membership (CK_Document_Sensitivity), and the default is CON…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Enforce a sensitivity floor with a trigger on doc.Document, and on cat.DocumentType updates, that raises Sensitivity to RESTRICTED when IsSensitive is set.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(12-institutions-accounts-catalogs.model:447) includes SUSPENDED, EXPIRED and REVOKED, but the table has no timestamp, actor or reason for any transition.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SuspendedAt, RevokedAt, RevokedBy and RevocationReason.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 HashKeyId‎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EncKeyId and HashKeyId reference sec.TenantKey by key id only (generated as (TenantId, EncKeyId) -&gt; (TenantId, TenantKeyId)).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Store the purpose on the row as a constant column (e.g.</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بـ DR-02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 ApprovedAt, SupersedesGrantId‎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ApprovedBy and ApprovedAt (11-organization-party.model:143-144) are nullable, and the status CHECK (line 156) requires only a source document or an exception reason for ACTIVE/SUPERSEDED/REVOKED.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IN ('DRAFT','PENDING_APPROVAL') OR (ApprovedBy IS NOT NULL AND ApprovedAt IS NOT NULL)) and CHECK (ApprovedBy IS NULL OR ApprovedAt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‎org.Shareholding.Layer, HolderPartyId, CompanyId‎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cardinality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Layer &gt;= 2 means 'indirect, through intermediate entities' (11-organization-party.model:78), but no column identifies the intermediate holder or the parent holding.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self-referencing ViaShareholdingId (or IntermediatePartyId) with via=CompanyId pointing to the intermediate's layer-1 row, and key the uniqueness and the open-row filter on (CompanyId, HolderPartyId, ViaShareholdingId, Effe…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 IsSuperseded‎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SupersededById (11-organization-party.model:305) is generated as (TenantId, SupersededById) only (002_foreign_keys.sql:156), so a document can be superseded by a document belonging to a different party.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via=PartyId to SupersededById so the successor must belong to the same party.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company-party mirror is stored twice: org.Company.PartyId (11-organization-party.model:16, unique line 34) and pty.Party.LinkedCompanyId (line 274, unique line 278).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one pointer and derive the other, or enforce equality declaratively: add a unique key (TenantId, CompanyId, PartyId) on org.Company and make pty.Party's link a composite FK (TenantId, LinkedCompanyId, PartyId) -&gt; org.Company…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org.Company.TaxNumber (11-organization-party.model:26) is a plain ascii(30) column with no sens tag, on a 'public' aggregate root (line 12) whose PublicId is exposed through the API (docs/20 sections 1 and 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Drop org.Company.TaxNumber and read the current TaxIdentity row (CountryId = the company's CountryId, IsCurrent = 1) through a view.</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 (and lc.LetterOfCredit link, file 16).SourceType, SourceRefId‎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SourceRefId is a bigint that holds an LcId or a RequestId depending on SourceType (13:254-255).</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SourceRefId with typed nullable FKs (for example a request FK to wfl.Request, and the LC link kept on one side only).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‎fac.ValueConflict.TargetEntity, TargetId, FacilityId‎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conflict targets an entity through free text TargetEntity ascii(60) (13:328) and bigint TargetId (13:329), with no FK and no domain CHECK (DDL 001 has only the NOT NULL).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typed nullable target FKs with (TenantId, FacilityId, ...) composite keys and an exactly-one CHECK, as LimitMovement does.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 (header); fac.Limit, fac.LimitProductLine, fac.LimitCompanyRule, prc.PricingRule, cmp.TermValue (rev children).ApprovedRevisionNo, ParentLimitId, LimitId, ToRevision‎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Revision integrity is left to the application.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stable identity from versions.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 (with cat.BaseRateValue and cat.BaseRateAlias).InstitutionId (MARKET rows), CurrencyId, Code, BaseRateAlias.InstitutionId‎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is tenant-owned (no global/mixed flag, model 12:210;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MARKET base rates and their values global or mixed (TenantId NULL, platform-written, tenant read-only) and keep BANK_INTERNAL tenant-owned, with a justification line per table.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 cat.ProductFinancingType (with cat.Product and cat.FacilityType).IsIslamic, Compliance‎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Shariah classification is modelled three ways.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IsIslamic with the same Compliance enum.</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 fac.LimitProductLine, fac.LimitCompanyRule, fac.ProductLineTerm, fac.OutstandingSnapshot, fac.ValueConflict, prc.PricingRule, cmp.TermValue (src tables).OriginalText (and CandidateAOriginalText, Reason, Notes, ChangeSummary)‎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src flag adds OriginalText NVARCHAR(2000) to each sourced row (DDL 001:2969, 3020, 3070, 3114 and others) and ValueConflict.CandidateA/BOriginalText (13:335, 13:341).</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Flag OriginalText and the free-text columns in src and rev tables as sens=confidential, and add DENY SELECT for tp_readonly on them.</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 fac.FacilityLender; fac.Facility; ref.Country; cat.LegalEntityType; cat.Position.AppliesTo, Roles, AlertLeadDays, BankUnilateralRights, WeekendDays, DefaultBodyTypes, ApplicableBodyTypes‎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Multi-valued columns are not domain-checked.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Have dbgen emit a membership CHECK for every set{} column (wrap the value in commas and reject any token outside the list, plus duplicates).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generated FK is (TenantId, GuarantorIdentityDocumentId) to pty.IdentityDocument only (002_foreign_keys.sql:444).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GuarantorIdentityDocumentId -&gt;pty.IdentityDocument via=GuarantorPartyId, with a unique (TenantId, PartyId, IdentityDocumentId) on pty.IdentityDocument.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version-chain FK is (TenantId, SupersedesId) to fin.FinancialStatement only (002_foreign_keys.sql:510) with no via= on CompanyId or on the period key.</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SupersedesId -&gt;fin.FinancialStatement via=CompanyId,Basis,Assurance,PeriodType,PeriodEnd (the columns of the approved-uniqueness key), with a unique on the target (TenantId, those columns, FinancialStatementId).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ScopeLimitProductLineId (db/model/13 line 438), cmp.TermValue.LimitProductLineId (line 561) and obl.Obligation.ScopeProductLineId (db/model/14 line 167) use via=FacilityId only.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via=FacilityId,ScopeLimitId for PricingRule and Obligation, and via=FacilityId,LimitId for TermValue.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is {DRAFT, ACTIVE, RELEASED, EXPIRED} (db/model/14 line 33), and it has no value for a replaced version.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SUPERSEDED to Status and set it in the approval transaction.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‎fin.AccountMonthlyStat.MonthEnd‎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fin.AccountMonthlyStat and fin.BankFlowEntry key on MonthEnd (db/model/14 line 456 unique BankAccountId,MonthEnd;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(MonthEnd = EOMONTH(MonthEnd)) to both tables, and apply the same rule to any other MonthEnd used as a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‎obl.Covenant.ThresholdUnit‎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CK_Covenant_3 (001_tables.sql:4144) requires Operator and ThresholdValue when ThresholdState = 'SET', but not ThresholdUnit (model lines 286-288).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(ThresholdState &lt;&gt; 'SET' OR ThresholdUnit IS NOT NULL) and CHECK (MeasureKind NOT IN ('RATIO','AMOUNT','PERCENT_OF_REVENUE') OR StatementBasis IS NOT NULL), and review RequiredAssurance the same way.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The model says stored results are not edited (المخزَّن لا يُعدَّل, db/model/14 line 300) and InputsSnapshot is fixed after saving (line 314, BR-FIN-010).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a GoverningCovenantId (and GoverningReportingObligationId on ReportingInstance) that is never re-pointed, and resolve the current revision through the logical chain.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Subtype rows (Guarantee, PromissoryNote, InsurancePolicyAssignment, ValuationSchedule;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the typed-FK pattern.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legal content is mutable at the database level.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mutable draft from issued content: keep LcTerms mutable only while DRAFT and insert a new immutable row on lock, with DENY UPDATE/DELETE to tp_app and tp_platform on the locked table (the append mechanism already used 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LcTerms.OwnerType/OwnerId is polymorphic with no FK (16:162-163), and the generated FK for CurrentTermsId is (TenantId, CurrentTermsId) only (DDL 002_foreign_keys.sql:709).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OwnerType/OwnerId with typed nullable owner keys (RequestId, ProformaInvoiceId, LetterOfCreditId, LcAmendmentId) and a check that exactly one applies for the Purpose, so each terms row has a real FK.</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‎wfl.HookExecution.ActionFilter‎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idempotency key omits ActionFilter.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ActionFilter in the unique key (SQL Server treats NULLs as equal in unique constraints, so ON_ENTER and ON_EXIT rows stay unique).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‎wfl.Request.DueAt‎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duplicates the open stage instance.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RequestStageInstance the single source of stage, assignee and SLA state, and build the queue and SLA indexes on it (it already indexes DueAt where ExitedAt IS NULL, 15:405).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is optional (16:397;</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(LcClass = 'SALES' OR InstitutionId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restricted IBAN is encrypted in one column, but comparison and diff storage writes field values in plaintext with no sensitivity tag.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Exclude sens=restricted FieldKeys from comparison and diff at write time, storing only the mask and an HMAC for changed restricted fields, or encrypt those values with the §6.2 envelope.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‎org.Company.ErpCodeNormalized‎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ErpCodeNormalized (11-organization-party.model:28) is a stored derivation of ErpCompanyCode (the comment says it implements the BR-LCE-002 formula).</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ErpCodeNormalized as a calc column with a persisted expression, e.g.</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 ref.Currency, and every cat.* table with a Code check (for example cat.BaseRate, cat.LookupItem).Iso2, Iso3, Code‎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database collation is Arabic_100_CI_AS_SC (db/deploy.sql:9).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COLLATE Latin1_General_100_BIN2 inside each Code CHECK, for example Iso2 COLLATE Latin1_General_100_BIN2 NOT LIKE '%[^A-Z]%'.</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‎wfl.RequestType.AmountFieldKey‎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 repeats facts that other tables already own.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Derive field keys from TemplateField.IndexRole of the current template, derive the default template from WorkflowTemplate.IsCurrent, and make NumberSequenceKey a computed column or a check equal to 'req:' + Code.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‎wfl.Request.OutcomeReason‎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Several state columns lack the evidence that their state implies.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CHECKs: Status IN ('REJECTED','CANCELLED') implies OutcomeReason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bl>
    <w:p>
      <w:pPr>
        <w:bidi/>
        <w:spacing w:after="120" w:before="0"/>
      </w:pPr>
    </w:p>
    <w:p>
      <w:pPr>
        <w:pStyle w:val="Heading2"/>
        <w:bidi/>
      </w:pPr>
      <w:bookmarkStart w:name="_sec114" w:id="114"/>
      <w:r>
        <w:rPr>
          <w:rFonts w:ascii="Arial" w:cs="Arial" w:eastAsia="Arial" w:hAnsi="Arial"/>
          <w:b/>
          <w:bCs/>
          <w:color w:val="2B5C8A"/>
          <w:sz w:val="26"/>
          <w:szCs w:val="26"/>
          <w:rtl/>
        </w:rPr>
        <w:t xml:space="preserve">18.3 القرار</w:t>
      </w:r>
      <w:bookmarkEnd w:id="114"/>
    </w:p>
    <w:p>
      <w:pPr>
        <w:pStyle w:val="ListParagraph"/>
        <w:numPr>
          <w:ilvl w:val="0"/>
          <w:numId w:val="7"/>
        </w:numPr>
        <w:bidi/>
        <w:spacing w:after="70" w:before="0" w:line="300"/>
      </w:pPr>
      <w:r>
        <w:rPr>
          <w:rFonts w:ascii="Arial" w:cs="Arial" w:eastAsia="Arial" w:hAnsi="Arial"/>
          <w:b/>
          <w:bCs/>
          <w:sz w:val="21"/>
          <w:szCs w:val="21"/>
          <w:rtl/>
        </w:rPr>
        <w:t xml:space="preserve">الحرجة (10): مُعتمدة ومُطبَّقة</w:t>
      </w:r>
      <w:r>
        <w:rPr>
          <w:rFonts w:ascii="Arial" w:cs="Arial" w:eastAsia="Arial" w:hAnsi="Arial"/>
          <w:b w:val="false"/>
          <w:bCs w:val="false"/>
          <w:sz w:val="21"/>
          <w:szCs w:val="21"/>
          <w:rtl/>
        </w:rPr>
        <w:t xml:space="preserve"> في النموذج والـDDL بالتغيير C-12، ويتحقق منها </w:t>
      </w:r>
      <w:r>
        <w:rPr>
          <w:rFonts w:ascii="Courier New" w:cs="Courier New" w:eastAsia="Courier New" w:hAnsi="Courier New"/>
          <w:b w:val="false"/>
          <w:bCs w:val="false"/>
          <w:color w:val="1F2937"/>
          <w:sz w:val="18"/>
          <w:szCs w:val="18"/>
          <w:shd w:fill="F1F3F5" w:color="auto" w:val="clear"/>
          <w:rtl/>
        </w:rPr>
        <w:t xml:space="preserve">‎tools/dbgen/check_review_fixes.py‎</w:t>
      </w:r>
      <w:r>
        <w:rPr>
          <w:rFonts w:ascii="Arial" w:cs="Arial" w:eastAsia="Arial" w:hAnsi="Arial"/>
          <w:b w:val="false"/>
          <w:bCs w:val="false"/>
          <w:sz w:val="21"/>
          <w:szCs w:val="21"/>
          <w:rtl/>
        </w:rPr>
        <w:t xml:space="preserve"> آليًا على DDL المولَّد.</w:t>
      </w:r>
    </w:p>
    <w:p>
      <w:pPr>
        <w:pStyle w:val="ListParagraph"/>
        <w:numPr>
          <w:ilvl w:val="0"/>
          <w:numId w:val="7"/>
        </w:numPr>
        <w:bidi/>
        <w:spacing w:after="70" w:before="0" w:line="300"/>
      </w:pPr>
      <w:r>
        <w:rPr>
          <w:rFonts w:ascii="Arial" w:cs="Arial" w:eastAsia="Arial" w:hAnsi="Arial"/>
          <w:b/>
          <w:bCs/>
          <w:sz w:val="21"/>
          <w:szCs w:val="21"/>
          <w:rtl/>
        </w:rPr>
        <w:t xml:space="preserve">الرئيسية (36) والطفيفة (4): قرّرها المالك في 2026-10-13</w:t>
      </w:r>
      <w:r>
        <w:rPr>
          <w:rFonts w:ascii="Arial" w:cs="Arial" w:eastAsia="Arial" w:hAnsi="Arial"/>
          <w:b w:val="false"/>
          <w:bCs w:val="false"/>
          <w:sz w:val="21"/>
          <w:szCs w:val="21"/>
          <w:rtl/>
        </w:rPr>
        <w:t xml:space="preserve"> بسجل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(O-15). الدفعة (أ) مُطبَّقة في 33 نتيجة (</w:t>
      </w:r>
      <w:r>
        <w:rPr>
          <w:rFonts w:ascii="Courier New" w:cs="Courier New" w:eastAsia="Courier New" w:hAnsi="Courier New"/>
          <w:b w:val="false"/>
          <w:bCs w:val="false"/>
          <w:color w:val="1F2937"/>
          <w:sz w:val="18"/>
          <w:szCs w:val="18"/>
          <w:shd w:fill="F1F3F5" w:color="auto" w:val="clear"/>
          <w:rtl/>
        </w:rPr>
        <w:t xml:space="preserve">‎docs/adr/0011-design-review-fixes.md‎</w:t>
      </w:r>
      <w:r>
        <w:rPr>
          <w:rFonts w:ascii="Arial" w:cs="Arial" w:eastAsia="Arial" w:hAnsi="Arial"/>
          <w:b w:val="false"/>
          <w:bCs w:val="false"/>
          <w:sz w:val="21"/>
          <w:szCs w:val="21"/>
          <w:rtl/>
        </w:rPr>
        <w:t xml:space="preserve">، الاختبارات RF1 إلى RF18)، والدفعة (ب)، شروط دخول الشرائح S1 إلى S4، مُطبَّقة كلها في اليوم نفسه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الاختبارات RF19 إلى RF34)، وDR-20 محلولة بـ DR-02. المؤجَّل: مرساة البصمة الخارجية (مع O-13) وفحص المفاتيح المتقاعدة.</w:t>
      </w:r>
    </w:p>
    <w:p>
      <w:pPr>
        <w:pStyle w:val="ListParagraph"/>
        <w:numPr>
          <w:ilvl w:val="0"/>
          <w:numId w:val="7"/>
        </w:numPr>
        <w:bidi/>
        <w:spacing w:after="70" w:before="0" w:line="300"/>
      </w:pPr>
      <w:r>
        <w:rPr>
          <w:rFonts w:ascii="Arial" w:cs="Arial" w:eastAsia="Arial" w:hAnsi="Arial"/>
          <w:b/>
          <w:bCs/>
          <w:sz w:val="21"/>
          <w:szCs w:val="21"/>
          <w:rtl/>
        </w:rPr>
        <w:t xml:space="preserve">بعد أي تغيير</w:t>
      </w:r>
      <w:r>
        <w:rPr>
          <w:rFonts w:ascii="Arial" w:cs="Arial" w:eastAsia="Arial" w:hAnsi="Arial"/>
          <w:b w:val="false"/>
          <w:bCs w:val="false"/>
          <w:sz w:val="21"/>
          <w:szCs w:val="21"/>
          <w:rtl/>
        </w:rPr>
        <w:t xml:space="preserve"> في النموذج: </w:t>
      </w:r>
      <w:r>
        <w:rPr>
          <w:rFonts w:ascii="Courier New" w:cs="Courier New" w:eastAsia="Courier New" w:hAnsi="Courier New"/>
          <w:b w:val="false"/>
          <w:bCs w:val="false"/>
          <w:color w:val="1F2937"/>
          <w:sz w:val="18"/>
          <w:szCs w:val="18"/>
          <w:shd w:fill="F1F3F5" w:color="auto" w:val="clear"/>
          <w:rtl/>
        </w:rPr>
        <w:t xml:space="preserve">‎dbgen check‎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‎dbgen build‎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‎pg_validate.sh‎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‎erd_mermaid.py‎</w:t>
      </w:r>
      <w:r>
        <w:rPr>
          <w:rFonts w:ascii="Arial" w:cs="Arial" w:eastAsia="Arial" w:hAnsi="Arial"/>
          <w:b w:val="false"/>
          <w:bCs w:val="false"/>
          <w:sz w:val="21"/>
          <w:szCs w:val="21"/>
          <w:rtl/>
        </w:rPr>
        <w:t xml:space="preserve"> لتحديث المخططات، ثم إعادة بناء هذه الوثيقة.</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DATABASE DESIGN AND ERD · BankFas · v0.3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394afd22ce9e6c7945c20880b9406609bf5a77f0.png"/><Relationship Id="rId11" Type="http://schemas.openxmlformats.org/officeDocument/2006/relationships/image" Target="media/b75998481ab0ef1db4e242cf4d90e3edd0b0a4e1.png"/><Relationship Id="rId12" Type="http://schemas.openxmlformats.org/officeDocument/2006/relationships/image" Target="media/d0375e7acff8c3f0e5a77848f46429db5ba6370c.png"/><Relationship Id="rId13" Type="http://schemas.openxmlformats.org/officeDocument/2006/relationships/image" Target="media/c842c9051cd134a0e972866c6c1d833dc2e2fa86.png"/><Relationship Id="rId14" Type="http://schemas.openxmlformats.org/officeDocument/2006/relationships/image" Target="media/f138ff820713f546089e628bcf21fdcb667bfa91.png"/><Relationship Id="rId15" Type="http://schemas.openxmlformats.org/officeDocument/2006/relationships/image" Target="media/1ffc1d2252b4b598b1afe0d227267fc517051315.png"/><Relationship Id="rId16" Type="http://schemas.openxmlformats.org/officeDocument/2006/relationships/image" Target="media/9b3786f8184a09b5f1368696fc307318687913db.png"/><Relationship Id="rId17" Type="http://schemas.openxmlformats.org/officeDocument/2006/relationships/image" Target="media/badc69daba83dbe5931f68b48317c53ab6966240.png"/><Relationship Id="rId18" Type="http://schemas.openxmlformats.org/officeDocument/2006/relationships/image" Target="media/d3f2179fc08ce0eacd8158922885beb09b1d8d13.png"/><Relationship Id="rId19" Type="http://schemas.openxmlformats.org/officeDocument/2006/relationships/image" Target="media/c76002d011352f5395eb0b6c31f09f1d67c59208.png"/><Relationship Id="rId20" Type="http://schemas.openxmlformats.org/officeDocument/2006/relationships/image" Target="media/f4c50df974498ead537ccfd6ca29a95a98fa7484.png"/><Relationship Id="rId21" Type="http://schemas.openxmlformats.org/officeDocument/2006/relationships/image" Target="media/29eb4df0aacf9c0072e337a761f788843d7a80cf.png"/><Relationship Id="rId22" Type="http://schemas.openxmlformats.org/officeDocument/2006/relationships/image" Target="media/08bdee3bcf819dc839c1b65d7a24e0afcf352130.png"/><Relationship Id="rId23" Type="http://schemas.openxmlformats.org/officeDocument/2006/relationships/image" Target="media/053f781cfec5ee877bd32c2ffdc3aae8dd46ee1c.png"/><Relationship Id="rId24" Type="http://schemas.openxmlformats.org/officeDocument/2006/relationships/image" Target="media/8470b75364dcd28479439dd17daa67e1565e226d.png"/><Relationship Id="rId25" Type="http://schemas.openxmlformats.org/officeDocument/2006/relationships/image" Target="media/026d79bf28ca59e4df83d484a44be405f141278f.png"/><Relationship Id="rId26" Type="http://schemas.openxmlformats.org/officeDocument/2006/relationships/image" Target="media/ce4cb11a4565be7d03d6e1638c168ff6cbca80ab.png"/><Relationship Id="rId27" Type="http://schemas.openxmlformats.org/officeDocument/2006/relationships/image" Target="media/cb080cd65b607f7f9633ce1ddc6d1fe9caa73fd5.png"/><Relationship Id="rId28" Type="http://schemas.openxmlformats.org/officeDocument/2006/relationships/image" Target="media/a7b8ed1cdeea67cf394d53d30f27f2b03d16b086.png"/><Relationship Id="rId29" Type="http://schemas.openxmlformats.org/officeDocument/2006/relationships/image" Target="media/fafbd534482467ca795a619256cc040d809678d7.png"/><Relationship Id="rId30" Type="http://schemas.openxmlformats.org/officeDocument/2006/relationships/image" Target="media/19ed210285c6be503a282437430627d0141bf437.png"/><Relationship Id="rId31" Type="http://schemas.openxmlformats.org/officeDocument/2006/relationships/image" Target="media/6151074b201dee05eb38162f85390b819d75990b.png"/><Relationship Id="rId32" Type="http://schemas.openxmlformats.org/officeDocument/2006/relationships/image" Target="media/49cb5193cf21a99ab8f6c97029a00bf1bad3271a.png"/><Relationship Id="rId33" Type="http://schemas.openxmlformats.org/officeDocument/2006/relationships/image" Target="media/e67035773addbfd0d234ddf7bdbd3703eb7b2d01.png"/><Relationship Id="rId34" Type="http://schemas.openxmlformats.org/officeDocument/2006/relationships/image" Target="media/8d5d972816be1a4f7fb7bd461a82351be911260c.png"/><Relationship Id="rId35" Type="http://schemas.openxmlformats.org/officeDocument/2006/relationships/image" Target="media/1dfa69fe80e24e4114061f8d82f7a15cdf46b836.png"/><Relationship Id="rId36" Type="http://schemas.openxmlformats.org/officeDocument/2006/relationships/image" Target="media/22eea4621d189d2ec2ce3de64049d504827489ba.png"/><Relationship Id="rId37" Type="http://schemas.openxmlformats.org/officeDocument/2006/relationships/image" Target="media/51418d538b6808035e0db5c469ea7ba46dffa8f3.png"/><Relationship Id="rId38" Type="http://schemas.openxmlformats.org/officeDocument/2006/relationships/image" Target="media/46a0f19f17d64fe26b4c36522e53db828d08c0e2.png"/><Relationship Id="rId39" Type="http://schemas.openxmlformats.org/officeDocument/2006/relationships/image" Target="media/be2422664b11cc849ef3d82a92cb61fbd44ff584.png"/><Relationship Id="rId40" Type="http://schemas.openxmlformats.org/officeDocument/2006/relationships/image" Target="media/93dccc242007585c67c314a8ec0d81704fe3501f.png"/><Relationship Id="rId41" Type="http://schemas.openxmlformats.org/officeDocument/2006/relationships/image" Target="media/6e4faef8ac35f9cf67360b56acf8ed5d4428738e.png"/><Relationship Id="rId42" Type="http://schemas.openxmlformats.org/officeDocument/2006/relationships/image" Target="media/1e2b41f142148e53cebb38d8af332c67607f10e7.png"/><Relationship Id="rId43" Type="http://schemas.openxmlformats.org/officeDocument/2006/relationships/image" Target="media/76e546e477c4da7d3bb36259438ed6a4d3726402.png"/><Relationship Id="rId44" Type="http://schemas.openxmlformats.org/officeDocument/2006/relationships/image" Target="media/271e0b36918d1081cbb0fb919ffdbe0b3739a561.png"/><Relationship Id="rId45" Type="http://schemas.openxmlformats.org/officeDocument/2006/relationships/image" Target="media/63d48754eed442470525e2402aba12e000d32da3.png"/><Relationship Id="rId46" Type="http://schemas.openxmlformats.org/officeDocument/2006/relationships/image" Target="media/f1c2c34bf83df820e0c42dc07d3ff28846823b78.png"/><Relationship Id="rId47" Type="http://schemas.openxmlformats.org/officeDocument/2006/relationships/image" Target="media/ecced7fb41ae595ff9c4380026278d487161498d.png"/><Relationship Id="rId48" Type="http://schemas.openxmlformats.org/officeDocument/2006/relationships/image" Target="media/719dcfc4d1a2bb585edcb893ae4bea494650a0f2.png"/><Relationship Id="rId49" Type="http://schemas.openxmlformats.org/officeDocument/2006/relationships/image" Target="media/e017a7b7068131182508c2f4a525c30806afc22f.png"/><Relationship Id="rId50" Type="http://schemas.openxmlformats.org/officeDocument/2006/relationships/image" Target="media/501b67cbb32f47b51061a57cae996b54871e0ca6.png"/><Relationship Id="rId51" Type="http://schemas.openxmlformats.org/officeDocument/2006/relationships/image" Target="media/5603e99f8f2a7cc1938496761df70c8a63a82ac9.png"/><Relationship Id="rId52" Type="http://schemas.openxmlformats.org/officeDocument/2006/relationships/image" Target="media/d742b3fd0d4c7b74935c395b5f673aab13d28694.png"/><Relationship Id="rId53" Type="http://schemas.openxmlformats.org/officeDocument/2006/relationships/image" Target="media/2b2144d7fc608f1fdad5d8fbd5bcb05af47ed3a2.png"/><Relationship Id="rId54" Type="http://schemas.openxmlformats.org/officeDocument/2006/relationships/image" Target="media/d5d06d0ed7e79795ab5ed0ed5dbdf50949842418.png"/><Relationship Id="rId55" Type="http://schemas.openxmlformats.org/officeDocument/2006/relationships/image" Target="media/4982395d76e0d33b7f30ab097273feccdf168e04.png"/><Relationship Id="rId56" Type="http://schemas.openxmlformats.org/officeDocument/2006/relationships/image" Target="media/494c0f4a1326e3bbc19667850012a84e52403045.png"/><Relationship Id="rId57" Type="http://schemas.openxmlformats.org/officeDocument/2006/relationships/image" Target="media/f3c6a99e2f66df4dbe72197e44ae37e9973bbd72.png"/><Relationship Id="rId58" Type="http://schemas.openxmlformats.org/officeDocument/2006/relationships/image" Target="media/d539d1be88e22a9ddb39b43fe087de6d95fef4aa.png"/><Relationship Id="rId59" Type="http://schemas.openxmlformats.org/officeDocument/2006/relationships/image" Target="media/7ff803ad906bcfa2ebcbadf7dabb9605bc925441.png"/><Relationship Id="rId60" Type="http://schemas.openxmlformats.org/officeDocument/2006/relationships/image" Target="media/32e4178cfcb0982981bc4df131be60ca723fa475.png"/><Relationship Id="rId61" Type="http://schemas.openxmlformats.org/officeDocument/2006/relationships/image" Target="media/7300a75f1e07f1ea9aec9b51ff08678436fe43ba.png"/><Relationship Id="rId62" Type="http://schemas.openxmlformats.org/officeDocument/2006/relationships/image" Target="media/96ebc6fa69822558c7c239d6a27c23f8a70b39d4.png"/><Relationship Id="rId63" Type="http://schemas.openxmlformats.org/officeDocument/2006/relationships/image" Target="media/29590e30561ea7b950cc1ca528df7a1885be854b.png"/><Relationship Id="rId64" Type="http://schemas.openxmlformats.org/officeDocument/2006/relationships/image" Target="media/c3923270745ec1d61733243ee7111b3b6e68e05d.png"/><Relationship Id="rId65" Type="http://schemas.openxmlformats.org/officeDocument/2006/relationships/image" Target="media/fe9d9a8186638b18fae1e422875fcbe2eb728097.png"/><Relationship Id="rId66" Type="http://schemas.openxmlformats.org/officeDocument/2006/relationships/image" Target="media/b0939dc5f64d9418898980eb654a0547e53d205d.png"/><Relationship Id="rId67" Type="http://schemas.openxmlformats.org/officeDocument/2006/relationships/image" Target="media/2d58dca6be24cc25e139c5a76e2a4aecf89a044f.png"/><Relationship Id="rId68" Type="http://schemas.openxmlformats.org/officeDocument/2006/relationships/image" Target="media/c08708dd425ff7caf905c156d869c26b83ec0603.png"/><Relationship Id="rId69" Type="http://schemas.openxmlformats.org/officeDocument/2006/relationships/image" Target="media/c07c181f6bb574f7b888c1c4f10db1da4b196022.png"/><Relationship Id="rId70" Type="http://schemas.openxmlformats.org/officeDocument/2006/relationships/image" Target="media/7008bc244f86ea28562c3e07ecd466b89506f6b3.png"/><Relationship Id="rId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AND ERD — BankFas</dc:title>
  <dc:creator>Claude</dc:creator>
  <dc:description>BankFas database design document</dc:description>
  <cp:lastModifiedBy>Un-named</cp:lastModifiedBy>
  <cp:revision>1</cp:revision>
  <dcterms:created xsi:type="dcterms:W3CDTF">2026-10-13T23:33:10.503Z</dcterms:created>
  <dcterms:modified xsi:type="dcterms:W3CDTF">2026-10-13T23:33:10.504Z</dcterms:modified>
</cp:coreProperties>
</file>

<file path=docProps/custom.xml><?xml version="1.0" encoding="utf-8"?>
<Properties xmlns="http://schemas.openxmlformats.org/officeDocument/2006/custom-properties" xmlns:vt="http://schemas.openxmlformats.org/officeDocument/2006/docPropsVTypes"/>
</file>