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0.2)</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نُشر على SQL Server 2025 في بيئة التطوير ويمر CI كاملًا (انظر §14)؛ لم يُنشر على خادم الإنتاج بعد</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(198 جدولًا) — </w:t>
            </w:r>
            <w:r>
              <w:rPr>
                <w:rFonts w:ascii="Arial" w:cs="Arial" w:eastAsia="Arial" w:hAnsi="Arial"/>
                <w:b/>
                <w:bCs/>
                <w:sz w:val="18"/>
                <w:szCs w:val="18"/>
                <w:rtl/>
              </w:rPr>
              <w:t xml:space="preserve">الملفات المولَّدة لا تُعدَّل يدويًا</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4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5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58">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خريطة المخططات والجداول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Plan, PlanModule, Tenant, ReservedSubdomain, PlatformOperator, TenantModule, SupportAccessGrant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AppUser, Role, Permission, RolePermission, UserRole, UserCompanyScope, LoginAttempt,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SettingDefinition, TenantSetting, NumberSequenceDefinition, NumberSequence, NumberIssue, ExpiryAlertRule, ExpiryAlertLog, DataExportJob, NonWorkingDay, OutboxEvent,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Obligation, ObligationCompany, ReportingObligation, ReportingInstance, Covenant, CovenantAccount, CovenantTest,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LineCatalogItem, LineCatalogItemAlias, FinancialStatement, StatementLine, AccountMonthlyStat, BankFlowEntry, MeasureFormula</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1" w:id="31"/>
      <w:r>
        <w:rPr>
          <w:rFonts w:ascii="Arial" w:cs="Arial" w:eastAsia="Arial" w:hAnsi="Arial"/>
          <w:b/>
          <w:bCs/>
          <w:color w:val="2B5C8A"/>
          <w:sz w:val="26"/>
          <w:szCs w:val="26"/>
          <w:rtl/>
        </w:rPr>
        <w:t xml:space="preserve">10.1 تغطية المتطلبات</w:t>
      </w:r>
      <w:bookmarkEnd w:id="31"/>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2" w:id="32"/>
      <w:r>
        <w:rPr>
          <w:rFonts w:ascii="Arial" w:cs="Arial" w:eastAsia="Arial" w:hAnsi="Arial"/>
          <w:b/>
          <w:bCs/>
          <w:color w:val="2B5C8A"/>
          <w:sz w:val="26"/>
          <w:szCs w:val="26"/>
          <w:rtl/>
        </w:rPr>
        <w:t xml:space="preserve">10.2 مخططات العلاقات حسب الوحدة</w:t>
      </w:r>
      <w:bookmarkEnd w:id="32"/>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3" w:id="33"/>
      <w:r>
        <w:rPr>
          <w:rFonts w:ascii="Arial" w:cs="Arial" w:eastAsia="Arial" w:hAnsi="Arial"/>
          <w:b/>
          <w:bCs/>
          <w:color w:val="2B5C8A"/>
          <w:sz w:val="23"/>
          <w:szCs w:val="23"/>
          <w:rtl/>
        </w:rPr>
        <w:t xml:space="preserve">الهوية والمشترك والصلاحيات (م0)</w:t>
      </w:r>
      <w:bookmarkEnd w:id="33"/>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4" w:id="34"/>
      <w:r>
        <w:rPr>
          <w:rFonts w:ascii="Arial" w:cs="Arial" w:eastAsia="Arial" w:hAnsi="Arial"/>
          <w:b/>
          <w:bCs/>
          <w:color w:val="2B5C8A"/>
          <w:sz w:val="23"/>
          <w:szCs w:val="23"/>
          <w:rtl/>
        </w:rPr>
        <w:t xml:space="preserve">التدقيق والمستندات والإعدادات (م0)</w:t>
      </w:r>
      <w:bookmarkEnd w:id="34"/>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5" w:id="35"/>
      <w:r>
        <w:rPr>
          <w:rFonts w:ascii="Arial" w:cs="Arial" w:eastAsia="Arial" w:hAnsi="Arial"/>
          <w:b/>
          <w:bCs/>
          <w:color w:val="2B5C8A"/>
          <w:sz w:val="23"/>
          <w:szCs w:val="23"/>
          <w:rtl/>
        </w:rPr>
        <w:t xml:space="preserve">الهيكل المؤسسي والأشخاص (م1)</w:t>
      </w:r>
      <w:bookmarkEnd w:id="35"/>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6" w:id="36"/>
      <w:r>
        <w:rPr>
          <w:rFonts w:ascii="Arial" w:cs="Arial" w:eastAsia="Arial" w:hAnsi="Arial"/>
          <w:b/>
          <w:bCs/>
          <w:color w:val="2B5C8A"/>
          <w:sz w:val="23"/>
          <w:szCs w:val="23"/>
          <w:rtl/>
        </w:rPr>
        <w:t xml:space="preserve">المنشآت والحسابات والمفوّضون (م2–م3)</w:t>
      </w:r>
      <w:bookmarkEnd w:id="36"/>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7" w:id="37"/>
      <w:r>
        <w:rPr>
          <w:rFonts w:ascii="Arial" w:cs="Arial" w:eastAsia="Arial" w:hAnsi="Arial"/>
          <w:b/>
          <w:bCs/>
          <w:color w:val="2B5C8A"/>
          <w:sz w:val="23"/>
          <w:szCs w:val="23"/>
          <w:rtl/>
        </w:rPr>
        <w:t xml:space="preserve">الكتالوجات (م4)</w:t>
      </w:r>
      <w:bookmarkEnd w:id="37"/>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8" w:id="38"/>
      <w:r>
        <w:rPr>
          <w:rFonts w:ascii="Arial" w:cs="Arial" w:eastAsia="Arial" w:hAnsi="Arial"/>
          <w:b/>
          <w:bCs/>
          <w:color w:val="2B5C8A"/>
          <w:sz w:val="23"/>
          <w:szCs w:val="23"/>
          <w:rtl/>
        </w:rPr>
        <w:t xml:space="preserve">التسهيلات والحدود (م5)</w:t>
      </w:r>
      <w:bookmarkEnd w:id="38"/>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39" w:id="39"/>
      <w:r>
        <w:rPr>
          <w:rFonts w:ascii="Arial" w:cs="Arial" w:eastAsia="Arial" w:hAnsi="Arial"/>
          <w:b/>
          <w:bCs/>
          <w:color w:val="2B5C8A"/>
          <w:sz w:val="23"/>
          <w:szCs w:val="23"/>
          <w:rtl/>
        </w:rPr>
        <w:t xml:space="preserve">التسعير والتعرفة وشروط المقارنة (م5)</w:t>
      </w:r>
      <w:bookmarkEnd w:id="39"/>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0" w:id="40"/>
      <w:r>
        <w:rPr>
          <w:rFonts w:ascii="Arial" w:cs="Arial" w:eastAsia="Arial" w:hAnsi="Arial"/>
          <w:b/>
          <w:bCs/>
          <w:color w:val="2B5C8A"/>
          <w:sz w:val="23"/>
          <w:szCs w:val="23"/>
          <w:rtl/>
        </w:rPr>
        <w:t xml:space="preserve">الضمانات (م5)</w:t>
      </w:r>
      <w:bookmarkEnd w:id="40"/>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1" w:id="41"/>
      <w:r>
        <w:rPr>
          <w:rFonts w:ascii="Arial" w:cs="Arial" w:eastAsia="Arial" w:hAnsi="Arial"/>
          <w:b/>
          <w:bCs/>
          <w:color w:val="2B5C8A"/>
          <w:sz w:val="23"/>
          <w:szCs w:val="23"/>
          <w:rtl/>
        </w:rPr>
        <w:t xml:space="preserve">الالتزامات والبيانات المالية (م5)</w:t>
      </w:r>
      <w:bookmarkEnd w:id="41"/>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2" w:id="42"/>
      <w:r>
        <w:rPr>
          <w:rFonts w:ascii="Arial" w:cs="Arial" w:eastAsia="Arial" w:hAnsi="Arial"/>
          <w:b/>
          <w:bCs/>
          <w:color w:val="2B5C8A"/>
          <w:sz w:val="23"/>
          <w:szCs w:val="23"/>
          <w:rtl/>
        </w:rPr>
        <w:t xml:space="preserve">محرك الطلبات ودورات العمل (م6)</w:t>
      </w:r>
      <w:bookmarkEnd w:id="42"/>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3" w:id="43"/>
      <w:r>
        <w:rPr>
          <w:rFonts w:ascii="Arial" w:cs="Arial" w:eastAsia="Arial" w:hAnsi="Arial"/>
          <w:b/>
          <w:bCs/>
          <w:color w:val="2B5C8A"/>
          <w:sz w:val="23"/>
          <w:szCs w:val="23"/>
          <w:rtl/>
        </w:rPr>
        <w:t xml:space="preserve">الإشعارات (م6)</w:t>
      </w:r>
      <w:bookmarkEnd w:id="43"/>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4" w:id="44"/>
      <w:r>
        <w:rPr>
          <w:rFonts w:ascii="Arial" w:cs="Arial" w:eastAsia="Arial" w:hAnsi="Arial"/>
          <w:b/>
          <w:bCs/>
          <w:color w:val="2B5C8A"/>
          <w:sz w:val="23"/>
          <w:szCs w:val="23"/>
          <w:rtl/>
        </w:rPr>
        <w:t xml:space="preserve">الاعتمادات المستندية والبروفورما (م7/م8)</w:t>
      </w:r>
      <w:bookmarkEnd w:id="44"/>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5" w:id="45"/>
      <w:r>
        <w:rPr>
          <w:rFonts w:ascii="Arial" w:cs="Arial" w:eastAsia="Arial" w:hAnsi="Arial"/>
          <w:b/>
          <w:bCs/>
          <w:color w:val="1F3A5F"/>
          <w:sz w:val="32"/>
          <w:szCs w:val="32"/>
          <w:rtl/>
        </w:rPr>
        <w:t xml:space="preserve">11. أنماط التصميم للمجالات الرئيسية</w:t>
      </w:r>
      <w:bookmarkEnd w:id="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6" w:id="46"/>
      <w:r>
        <w:rPr>
          <w:rFonts w:ascii="Arial" w:cs="Arial" w:eastAsia="Arial" w:hAnsi="Arial"/>
          <w:b/>
          <w:bCs/>
          <w:color w:val="2B5C8A"/>
          <w:sz w:val="26"/>
          <w:szCs w:val="26"/>
          <w:rtl/>
        </w:rPr>
        <w:t xml:space="preserve">11.1 إقفال دورة العمل بيد إدارة الخزينة (C-7)</w:t>
      </w:r>
      <w:bookmarkEnd w:id="4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7" w:id="47"/>
      <w:r>
        <w:rPr>
          <w:rFonts w:ascii="Arial" w:cs="Arial" w:eastAsia="Arial" w:hAnsi="Arial"/>
          <w:b/>
          <w:bCs/>
          <w:color w:val="2B5C8A"/>
          <w:sz w:val="26"/>
          <w:szCs w:val="26"/>
          <w:rtl/>
        </w:rPr>
        <w:t xml:space="preserve">11.2 الملكية المتعددة والمراجع المركّبة (DR-04 · DR-06 · DR-09 · DR-10)</w:t>
      </w:r>
      <w:bookmarkEnd w:id="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11.3 الكتالوجات المملوكة للمشترك (DR-03 · DR-05 · DR-07)</w:t>
      </w:r>
      <w:bookmarkEnd w:id="48"/>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49" w:id="49"/>
      <w:r>
        <w:rPr>
          <w:rFonts w:ascii="Arial" w:cs="Arial" w:eastAsia="Arial" w:hAnsi="Arial"/>
          <w:b/>
          <w:bCs/>
          <w:color w:val="1F3A5F"/>
          <w:sz w:val="32"/>
          <w:szCs w:val="32"/>
          <w:rtl/>
        </w:rPr>
        <w:t xml:space="preserve">12. النشر وإدارة التغيير</w:t>
      </w:r>
      <w:bookmarkEnd w:id="49"/>
    </w:p>
    <w:p>
      <w:pPr>
        <w:pStyle w:val="Heading2"/>
        <w:bidi/>
      </w:pPr>
      <w:bookmarkStart w:name="_sec50" w:id="5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not sa nor a sysadmin, the SQL Server build and Ubuntu</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release of versions.json (gate G4), BankFas present in its collation and empty;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1" w:id="51"/>
      <w:r>
        <w:rPr>
          <w:rFonts w:ascii="Arial" w:cs="Arial" w:eastAsia="Arial" w:hAnsi="Arial"/>
          <w:b/>
          <w:bCs/>
          <w:color w:val="2B5C8A"/>
          <w:sz w:val="26"/>
          <w:szCs w:val="26"/>
          <w:rtl/>
        </w:rPr>
        <w:t xml:space="preserve">12.2 تغيير النموذج</w:t>
      </w:r>
      <w:bookmarkEnd w:id="5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2" w:id="5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3" w:id="53"/>
      <w:r>
        <w:rPr>
          <w:rFonts w:ascii="Arial" w:cs="Arial" w:eastAsia="Arial" w:hAnsi="Arial"/>
          <w:b/>
          <w:bCs/>
          <w:color w:val="2B5C8A"/>
          <w:sz w:val="26"/>
          <w:szCs w:val="26"/>
          <w:rtl/>
        </w:rPr>
        <w:t xml:space="preserve">12.4 الأداء والحمل</w:t>
      </w:r>
      <w:bookmarkEnd w:id="5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4" w:id="54"/>
      <w:r>
        <w:rPr>
          <w:rFonts w:ascii="Arial" w:cs="Arial" w:eastAsia="Arial" w:hAnsi="Arial"/>
          <w:b/>
          <w:bCs/>
          <w:color w:val="1F3A5F"/>
          <w:sz w:val="32"/>
          <w:szCs w:val="32"/>
          <w:rtl/>
        </w:rPr>
        <w:t xml:space="preserve">13. البذور وتهيئة المشترك</w:t>
      </w:r>
      <w:bookmarkEnd w:id="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5" w:id="55"/>
      <w:r>
        <w:rPr>
          <w:rFonts w:ascii="Arial" w:cs="Arial" w:eastAsia="Arial" w:hAnsi="Arial"/>
          <w:b/>
          <w:bCs/>
          <w:color w:val="1F3A5F"/>
          <w:sz w:val="32"/>
          <w:szCs w:val="32"/>
          <w:rtl/>
        </w:rPr>
        <w:t xml:space="preserve">14. أدلة التحقق وحدودها (بصراحة)</w:t>
      </w:r>
      <w:bookmarkEnd w:id="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199 جدولًا / 3,370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‎db/tests/data_export_tests.sql‎</w:t>
            </w:r>
            <w:r>
              <w:rPr>
                <w:rFonts w:ascii="Arial" w:cs="Arial" w:eastAsia="Arial" w:hAnsi="Arial"/>
                <w:b w:val="false"/>
                <w:bCs w:val="false"/>
                <w:sz w:val="18"/>
                <w:szCs w:val="18"/>
                <w:rtl/>
              </w:rPr>
              <w:t xml:space="preserve"> 6 حالات (التصدير في المعلّق والمغلق، ADR 0008) و</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فحوص (حسابات الخدمة بأسرارها وصلاحياتها، ADR 0009) و</w:t>
            </w:r>
            <w:r>
              <w:rPr>
                <w:rFonts w:ascii="Courier New" w:cs="Courier New" w:eastAsia="Courier New" w:hAnsi="Courier New"/>
                <w:b w:val="false"/>
                <w:bCs w:val="false"/>
                <w:color w:val="1F2937"/>
                <w:sz w:val="16"/>
                <w:szCs w:val="16"/>
                <w:shd w:fill="F1F3F5" w:color="auto" w:val="clear"/>
                <w:rtl/>
              </w:rPr>
              <w:t xml:space="preserve">‎db/tests/review_fixes_tests.sql‎</w:t>
            </w:r>
            <w:r>
              <w:rPr>
                <w:rFonts w:ascii="Arial" w:cs="Arial" w:eastAsia="Arial" w:hAnsi="Arial"/>
                <w:b w:val="false"/>
                <w:bCs w:val="false"/>
                <w:sz w:val="18"/>
                <w:szCs w:val="18"/>
                <w:rtl/>
              </w:rPr>
              <w:t xml:space="preserve"> 34 حالة (إصلاحات المراجعة وشروط دخول الشرائح S1 إلى S4، ADR 0011) و</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7 فحوص (تدقيق الخادم ونوافذه وقواعد AL-18، ADR 0012) و</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فحوص (حساب المراقبة بصلاحيات العرض وحدها، ADR 0013) و</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5 فحوص (الفحص التمهيدي للنشر وبوابة G4، ADR 0014)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15. القرارات المتخذة (تُعتمد ما لم تعترض)</w:t>
      </w:r>
      <w:bookmarkEnd w:id="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57" w:id="57"/>
      <w:r>
        <w:rPr>
          <w:rFonts w:ascii="Arial" w:cs="Arial" w:eastAsia="Arial" w:hAnsi="Arial"/>
          <w:b/>
          <w:bCs/>
          <w:color w:val="1F3A5F"/>
          <w:sz w:val="32"/>
          <w:szCs w:val="32"/>
          <w:rtl/>
        </w:rPr>
        <w:t xml:space="preserve">16. حدود معروفة ونقاط مفتوحة</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2"/>
        <w:gridCol w:w="3998"/>
        <w:gridCol w:w="1486"/>
        <w:gridCol w:w="3438"/>
      </w:tblGrid>
      <w:tr>
        <w:trPr>
          <w:cantSplit/>
          <w:tblHeader/>
        </w:trPr>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48 حالة عزل و6 لقاعدة الحصص و34 لإصلاحات المراجعة، في 22 خطوة</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17. الخطوة التالية</w:t>
      </w:r>
      <w:bookmarkEnd w:id="5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2026-10-13T23:22:38.679Z</dcterms:created>
  <dcterms:modified xsi:type="dcterms:W3CDTF">2026-10-13T23:22:38.682Z</dcterms:modified>
</cp:coreProperties>
</file>

<file path=docProps/custom.xml><?xml version="1.0" encoding="utf-8"?>
<Properties xmlns="http://schemas.openxmlformats.org/officeDocument/2006/custom-properties" xmlns:vt="http://schemas.openxmlformats.org/officeDocument/2006/docPropsVTypes"/>
</file>