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DOC-B05 — خطة البذر والترحيل الأولي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التحميل</w:t>
        </w:r>
      </w:hyperlink>
    </w:p>
    <w:p>
      <w:pPr>
        <w:bidi/>
        <w:spacing w:after="50" w:before="0"/>
        <w:ind w:left="0"/>
      </w:pPr>
      <w:hyperlink w:history="1" w:anchor="_sec4">
        <w:r>
          <w:rPr>
            <w:rFonts w:ascii="Arial" w:cs="Arial" w:eastAsia="Arial" w:hAnsi="Arial"/>
            <w:b/>
            <w:bCs/>
            <w:color w:val="1F3A5F"/>
            <w:sz w:val="20"/>
            <w:szCs w:val="20"/>
            <w:rtl/>
          </w:rPr>
          <w:t xml:space="preserve">4. بذر المنصة (عالمي)</w:t>
        </w:r>
      </w:hyperlink>
    </w:p>
    <w:p>
      <w:pPr>
        <w:bidi/>
        <w:spacing w:after="50" w:before="0"/>
        <w:ind w:left="0"/>
      </w:pPr>
      <w:hyperlink w:history="1" w:anchor="_sec8">
        <w:r>
          <w:rPr>
            <w:rFonts w:ascii="Arial" w:cs="Arial" w:eastAsia="Arial" w:hAnsi="Arial"/>
            <w:b/>
            <w:bCs/>
            <w:color w:val="1F3A5F"/>
            <w:sz w:val="20"/>
            <w:szCs w:val="20"/>
            <w:rtl/>
          </w:rPr>
          <w:t xml:space="preserve">5. بذر المشترك عند التهيئة</w:t>
        </w:r>
      </w:hyperlink>
    </w:p>
    <w:p>
      <w:pPr>
        <w:bidi/>
        <w:spacing w:after="50" w:before="0"/>
        <w:ind w:left="0"/>
      </w:pPr>
      <w:hyperlink w:history="1" w:anchor="_sec11">
        <w:r>
          <w:rPr>
            <w:rFonts w:ascii="Arial" w:cs="Arial" w:eastAsia="Arial" w:hAnsi="Arial"/>
            <w:b/>
            <w:bCs/>
            <w:color w:val="1F3A5F"/>
            <w:sz w:val="20"/>
            <w:szCs w:val="20"/>
            <w:rtl/>
          </w:rPr>
          <w:t xml:space="preserve">6. قواعد التكرار الآمن والإصدار</w:t>
        </w:r>
      </w:hyperlink>
    </w:p>
    <w:p>
      <w:pPr>
        <w:bidi/>
        <w:spacing w:after="50" w:before="0"/>
        <w:ind w:left="0"/>
      </w:pPr>
      <w:hyperlink w:history="1" w:anchor="_sec12">
        <w:r>
          <w:rPr>
            <w:rFonts w:ascii="Arial" w:cs="Arial" w:eastAsia="Arial" w:hAnsi="Arial"/>
            <w:b/>
            <w:bCs/>
            <w:color w:val="1F3A5F"/>
            <w:sz w:val="20"/>
            <w:szCs w:val="20"/>
            <w:rtl/>
          </w:rPr>
          <w:t xml:space="preserve">7. الترحيل الأولي من Excel</w:t>
        </w:r>
      </w:hyperlink>
    </w:p>
    <w:p>
      <w:pPr>
        <w:bidi/>
        <w:spacing w:after="50" w:before="0"/>
        <w:ind w:left="0"/>
      </w:pPr>
      <w:hyperlink w:history="1" w:anchor="_sec16">
        <w:r>
          <w:rPr>
            <w:rFonts w:ascii="Arial" w:cs="Arial" w:eastAsia="Arial" w:hAnsi="Arial"/>
            <w:b/>
            <w:bCs/>
            <w:color w:val="1F3A5F"/>
            <w:sz w:val="20"/>
            <w:szCs w:val="20"/>
            <w:rtl/>
          </w:rPr>
          <w:t xml:space="preserve">8. الاختبارات (تُنقل إلى DOC-B01)</w:t>
        </w:r>
      </w:hyperlink>
    </w:p>
    <w:p>
      <w:pPr>
        <w:bidi/>
        <w:spacing w:after="50" w:before="0"/>
        <w:ind w:left="0"/>
      </w:pPr>
      <w:hyperlink w:history="1" w:anchor="_sec17">
        <w:r>
          <w:rPr>
            <w:rFonts w:ascii="Arial" w:cs="Arial" w:eastAsia="Arial" w:hAnsi="Arial"/>
            <w:b/>
            <w:bCs/>
            <w:color w:val="1F3A5F"/>
            <w:sz w:val="20"/>
            <w:szCs w:val="20"/>
            <w:rtl/>
          </w:rPr>
          <w:t xml:space="preserve">9.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10.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11.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طبقات التحميل</w:t>
      </w:r>
      <w:bookmarkEnd w:id="3"/>
    </w:p>
    <w:p>
      <w:pPr>
        <w:keepNext/>
        <w:bidi/>
        <w:spacing w:after="60" w:before="160"/>
        <w:jc w:val="center"/>
      </w:pPr>
      <w:r>
        <w:drawing>
          <wp:inline distT="0" distB="0" distL="0" distR="0">
            <wp:extent cx="46672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819150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بذر المنصة (عالمي)</w:t>
      </w:r>
      <w:bookmarkEnd w:id="4"/>
    </w:p>
    <w:p>
      <w:pPr>
        <w:pStyle w:val="Heading2"/>
        <w:bidi/>
      </w:pPr>
      <w:bookmarkStart w:name="_sec5" w:id="5"/>
      <w:r>
        <w:rPr>
          <w:rFonts w:ascii="Arial" w:cs="Arial" w:eastAsia="Arial" w:hAnsi="Arial"/>
          <w:b/>
          <w:bCs/>
          <w:color w:val="2B5C8A"/>
          <w:sz w:val="26"/>
          <w:szCs w:val="26"/>
          <w:rtl/>
        </w:rPr>
        <w:t xml:space="preserve">4.1 الجداول والمحتوى</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لا يُبذر على مستوى المنصة</w:t>
      </w:r>
      <w:bookmarkEnd w:id="6"/>
    </w:p>
    <w:p>
      <w:pPr>
        <w:pStyle w:val="ListParagraph"/>
        <w:numPr>
          <w:ilvl w:val="0"/>
          <w:numId w:val="3"/>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3"/>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3"/>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الموقع في ترتيب النشر (منفّذ)</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1"/>
        <w:bidi/>
      </w:pPr>
      <w:bookmarkStart w:name="_sec8" w:id="8"/>
      <w:r>
        <w:rPr>
          <w:rFonts w:ascii="Arial" w:cs="Arial" w:eastAsia="Arial" w:hAnsi="Arial"/>
          <w:b/>
          <w:bCs/>
          <w:color w:val="1F3A5F"/>
          <w:sz w:val="32"/>
          <w:szCs w:val="32"/>
          <w:rtl/>
        </w:rPr>
        <w:t xml:space="preserve">5. بذر المشترك عند التهيئة</w:t>
      </w:r>
      <w:bookmarkEnd w:id="8"/>
    </w:p>
    <w:p>
      <w:pPr>
        <w:pStyle w:val="Heading2"/>
        <w:bidi/>
      </w:pPr>
      <w:bookmarkStart w:name="_sec9" w:id="9"/>
      <w:r>
        <w:rPr>
          <w:rFonts w:ascii="Arial" w:cs="Arial" w:eastAsia="Arial" w:hAnsi="Arial"/>
          <w:b/>
          <w:bCs/>
          <w:color w:val="2B5C8A"/>
          <w:sz w:val="26"/>
          <w:szCs w:val="26"/>
          <w:rtl/>
        </w:rPr>
        <w:t xml:space="preserve">5.1 الحزم</w:t>
      </w:r>
      <w:bookmarkEnd w:id="9"/>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2"/>
        <w:bidi/>
      </w:pPr>
      <w:bookmarkStart w:name="_sec10" w:id="10"/>
      <w:r>
        <w:rPr>
          <w:rFonts w:ascii="Arial" w:cs="Arial" w:eastAsia="Arial" w:hAnsi="Arial"/>
          <w:b/>
          <w:bCs/>
          <w:color w:val="2B5C8A"/>
          <w:sz w:val="26"/>
          <w:szCs w:val="26"/>
          <w:rtl/>
        </w:rPr>
        <w:t xml:space="preserve">5.2 مصادر القوائم ومالكوها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1"/>
        <w:bidi/>
      </w:pPr>
      <w:bookmarkStart w:name="_sec11" w:id="11"/>
      <w:r>
        <w:rPr>
          <w:rFonts w:ascii="Arial" w:cs="Arial" w:eastAsia="Arial" w:hAnsi="Arial"/>
          <w:b/>
          <w:bCs/>
          <w:color w:val="1F3A5F"/>
          <w:sz w:val="32"/>
          <w:szCs w:val="32"/>
          <w:rtl/>
        </w:rPr>
        <w:t xml:space="preserve">6. قواعد التكرار الآمن والإصدار</w:t>
      </w:r>
      <w:bookmarkEnd w:id="11"/>
    </w:p>
    <w:p>
      <w:pPr>
        <w:pStyle w:val="ListParagraph"/>
        <w:numPr>
          <w:ilvl w:val="0"/>
          <w:numId w:val="4"/>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4"/>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4"/>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4"/>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4"/>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4"/>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4"/>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4"/>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1"/>
        <w:bidi/>
      </w:pPr>
      <w:bookmarkStart w:name="_sec12" w:id="12"/>
      <w:r>
        <w:rPr>
          <w:rFonts w:ascii="Arial" w:cs="Arial" w:eastAsia="Arial" w:hAnsi="Arial"/>
          <w:b/>
          <w:bCs/>
          <w:color w:val="1F3A5F"/>
          <w:sz w:val="32"/>
          <w:szCs w:val="32"/>
          <w:rtl/>
        </w:rPr>
        <w:t xml:space="preserve">7. الترحيل الأولي من Excel</w:t>
      </w:r>
      <w:bookmarkEnd w:id="12"/>
    </w:p>
    <w:p>
      <w:pPr>
        <w:pStyle w:val="Heading2"/>
        <w:bidi/>
      </w:pPr>
      <w:bookmarkStart w:name="_sec13" w:id="13"/>
      <w:r>
        <w:rPr>
          <w:rFonts w:ascii="Arial" w:cs="Arial" w:eastAsia="Arial" w:hAnsi="Arial"/>
          <w:b/>
          <w:bCs/>
          <w:color w:val="2B5C8A"/>
          <w:sz w:val="26"/>
          <w:szCs w:val="26"/>
          <w:rtl/>
        </w:rPr>
        <w:t xml:space="preserve">7.1 القوالب</w:t>
      </w:r>
      <w:bookmarkEnd w:id="13"/>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7.2 ترتيب التحميل</w:t>
      </w:r>
      <w:bookmarkEnd w:id="14"/>
    </w:p>
    <w:p>
      <w:pPr>
        <w:keepNext/>
        <w:bidi/>
        <w:spacing w:after="60" w:before="160"/>
        <w:jc w:val="center"/>
      </w:pPr>
      <w:r>
        <w:drawing>
          <wp:inline distT="0" distB="0" distL="0" distR="0">
            <wp:extent cx="6096000" cy="1447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3"/>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3"/>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5" w:id="15"/>
      <w:r>
        <w:rPr>
          <w:rFonts w:ascii="Arial" w:cs="Arial" w:eastAsia="Arial" w:hAnsi="Arial"/>
          <w:b/>
          <w:bCs/>
          <w:color w:val="2B5C8A"/>
          <w:sz w:val="26"/>
          <w:szCs w:val="26"/>
          <w:rtl/>
        </w:rPr>
        <w:t xml:space="preserve">7.3 التشغيل التجريبي والتحقق والرفض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الاختبارات (تُنقل إلى DOC-B01)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9.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10. تعارضات وفجوات في المصادر</w:t>
      </w:r>
      <w:bookmarkEnd w:id="18"/>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5"/>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5"/>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5"/>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5"/>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1"/>
        <w:bidi/>
      </w:pPr>
      <w:bookmarkStart w:name="_sec19" w:id="19"/>
      <w:r>
        <w:rPr>
          <w:rFonts w:ascii="Arial" w:cs="Arial" w:eastAsia="Arial" w:hAnsi="Arial"/>
          <w:b/>
          <w:bCs/>
          <w:color w:val="1F3A5F"/>
          <w:sz w:val="32"/>
          <w:szCs w:val="32"/>
          <w:rtl/>
        </w:rPr>
        <w:t xml:space="preserve">11.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bf5da570103e2a49ffd1ddde6012c6605c810.png"/><Relationship Id="rId10" Type="http://schemas.openxmlformats.org/officeDocument/2006/relationships/image" Target="media/13650de25d68807e07cd0c0701015690c390dc4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DOC-B05 — خطة البذر والترحيل الأولي</dc:title>
  <dc:creator>Claude</dc:creator>
  <dc:description>BankFas database design document</dc:description>
  <cp:lastModifiedBy>Un-named</cp:lastModifiedBy>
  <cp:revision>1</cp:revision>
  <dcterms:created xsi:type="dcterms:W3CDTF">2026-10-13T23:25:49.785Z</dcterms:created>
  <dcterms:modified xsi:type="dcterms:W3CDTF">2026-10-13T23:25:49.785Z</dcterms:modified>
</cp:coreProperties>
</file>

<file path=docProps/custom.xml><?xml version="1.0" encoding="utf-8"?>
<Properties xmlns="http://schemas.openxmlformats.org/officeDocument/2006/custom-properties" xmlns:vt="http://schemas.openxmlformats.org/officeDocument/2006/docPropsVTypes"/>
</file>