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DOC-S12 — متطلبات السجلات والمراقبة والتدقيق التشغيلي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ما يُسجَّل وأين</w:t>
        </w:r>
      </w:hyperlink>
    </w:p>
    <w:p>
      <w:pPr>
        <w:bidi/>
        <w:spacing w:after="50" w:before="0"/>
        <w:ind w:left="0"/>
      </w:pPr>
      <w:hyperlink w:history="1" w:anchor="_sec10">
        <w:r>
          <w:rPr>
            <w:rFonts w:ascii="Arial" w:cs="Arial" w:eastAsia="Arial" w:hAnsi="Arial"/>
            <w:b/>
            <w:bCs/>
            <w:color w:val="1F3A5F"/>
            <w:sz w:val="20"/>
            <w:szCs w:val="20"/>
            <w:rtl/>
          </w:rPr>
          <w:t xml:space="preserve">4. معرّف الارتباط من الطرف إلى الطرف</w:t>
        </w:r>
      </w:hyperlink>
    </w:p>
    <w:p>
      <w:pPr>
        <w:bidi/>
        <w:spacing w:after="50" w:before="0"/>
        <w:ind w:left="0"/>
      </w:pPr>
      <w:hyperlink w:history="1" w:anchor="_sec11">
        <w:r>
          <w:rPr>
            <w:rFonts w:ascii="Arial" w:cs="Arial" w:eastAsia="Arial" w:hAnsi="Arial"/>
            <w:b/>
            <w:bCs/>
            <w:color w:val="1F3A5F"/>
            <w:sz w:val="20"/>
            <w:szCs w:val="20"/>
            <w:rtl/>
          </w:rPr>
          <w:t xml:space="preserve">5. الاحتفاظ والحماية</w:t>
        </w:r>
      </w:hyperlink>
    </w:p>
    <w:p>
      <w:pPr>
        <w:bidi/>
        <w:spacing w:after="50" w:before="0"/>
        <w:ind w:left="0"/>
      </w:pPr>
      <w:hyperlink w:history="1" w:anchor="_sec15">
        <w:r>
          <w:rPr>
            <w:rFonts w:ascii="Arial" w:cs="Arial" w:eastAsia="Arial" w:hAnsi="Arial"/>
            <w:b/>
            <w:bCs/>
            <w:color w:val="1F3A5F"/>
            <w:sz w:val="20"/>
            <w:szCs w:val="20"/>
            <w:rtl/>
          </w:rPr>
          <w:t xml:space="preserve">6. المقاييس والتنبيهات</w:t>
        </w:r>
      </w:hyperlink>
    </w:p>
    <w:p>
      <w:pPr>
        <w:bidi/>
        <w:spacing w:after="50" w:before="0"/>
        <w:ind w:left="0"/>
      </w:pPr>
      <w:hyperlink w:history="1" w:anchor="_sec16">
        <w:r>
          <w:rPr>
            <w:rFonts w:ascii="Arial" w:cs="Arial" w:eastAsia="Arial" w:hAnsi="Arial"/>
            <w:b/>
            <w:bCs/>
            <w:color w:val="1F3A5F"/>
            <w:sz w:val="20"/>
            <w:szCs w:val="20"/>
            <w:rtl/>
          </w:rPr>
          <w:t xml:space="preserve">7. اللوحات</w:t>
        </w:r>
      </w:hyperlink>
    </w:p>
    <w:p>
      <w:pPr>
        <w:bidi/>
        <w:spacing w:after="50" w:before="0"/>
        <w:ind w:left="0"/>
      </w:pPr>
      <w:hyperlink w:history="1" w:anchor="_sec17">
        <w:r>
          <w:rPr>
            <w:rFonts w:ascii="Arial" w:cs="Arial" w:eastAsia="Arial" w:hAnsi="Arial"/>
            <w:b/>
            <w:bCs/>
            <w:color w:val="1F3A5F"/>
            <w:sz w:val="20"/>
            <w:szCs w:val="20"/>
            <w:rtl/>
          </w:rPr>
          <w:t xml:space="preserve">8. من يراجع ماذا ومتى</w:t>
        </w:r>
      </w:hyperlink>
    </w:p>
    <w:p>
      <w:pPr>
        <w:bidi/>
        <w:spacing w:after="50" w:before="0"/>
        <w:ind w:left="0"/>
      </w:pPr>
      <w:hyperlink w:history="1" w:anchor="_sec18">
        <w:r>
          <w:rPr>
            <w:rFonts w:ascii="Arial" w:cs="Arial" w:eastAsia="Arial" w:hAnsi="Arial"/>
            <w:b/>
            <w:bCs/>
            <w:color w:val="1F3A5F"/>
            <w:sz w:val="20"/>
            <w:szCs w:val="20"/>
            <w:rtl/>
          </w:rPr>
          <w:t xml:space="preserve">9. معايير القبول</w:t>
        </w:r>
      </w:hyperlink>
    </w:p>
    <w:p>
      <w:pPr>
        <w:bidi/>
        <w:spacing w:after="50" w:before="0"/>
        <w:ind w:left="0"/>
      </w:pPr>
      <w:hyperlink w:history="1" w:anchor="_sec19">
        <w:r>
          <w:rPr>
            <w:rFonts w:ascii="Arial" w:cs="Arial" w:eastAsia="Arial" w:hAnsi="Arial"/>
            <w:b/>
            <w:bCs/>
            <w:color w:val="1F3A5F"/>
            <w:sz w:val="20"/>
            <w:szCs w:val="20"/>
            <w:rtl/>
          </w:rPr>
          <w:t xml:space="preserve">10.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11.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12.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ما يُسجَّل وأين</w:t>
      </w:r>
      <w:bookmarkEnd w:id="3"/>
    </w:p>
    <w:p>
      <w:pPr>
        <w:keepNext/>
        <w:bidi/>
        <w:spacing w:after="60" w:before="160"/>
        <w:jc w:val="center"/>
      </w:pPr>
      <w:r>
        <w:drawing>
          <wp:inline distT="0" distB="0" distL="0" distR="0">
            <wp:extent cx="6096000" cy="36099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609975"/>
                    </a:xfrm>
                    <a:prstGeom prst="rect">
                      <a:avLst/>
                    </a:prstGeom>
                  </pic:spPr>
                </pic:pic>
              </a:graphicData>
            </a:graphic>
          </wp:inline>
        </w:drawing>
      </w:r>
    </w:p>
    <w:p>
      <w:pPr>
        <w:pStyle w:val="Heading2"/>
        <w:bidi/>
      </w:pPr>
      <w:bookmarkStart w:name="_sec4" w:id="4"/>
      <w:r>
        <w:rPr>
          <w:rFonts w:ascii="Arial" w:cs="Arial" w:eastAsia="Arial" w:hAnsi="Arial"/>
          <w:b/>
          <w:bCs/>
          <w:color w:val="2B5C8A"/>
          <w:sz w:val="26"/>
          <w:szCs w:val="26"/>
          <w:rtl/>
        </w:rPr>
        <w:t xml:space="preserve">3.1 سجل التدقيق </w:t>
      </w:r>
      <w:r>
        <w:rPr>
          <w:rFonts w:ascii="Courier New" w:cs="Courier New" w:eastAsia="Courier New" w:hAnsi="Courier New"/>
          <w:b/>
          <w:bCs/>
          <w:color w:val="1F2937"/>
          <w:sz w:val="22"/>
          <w:szCs w:val="22"/>
          <w:rtl/>
        </w:rPr>
        <w:t xml:space="preserve">‎aud.AuditLog‎</w:t>
      </w:r>
      <w:bookmarkEnd w:id="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2"/>
        <w:bidi/>
      </w:pPr>
      <w:bookmarkStart w:name="_sec5" w:id="5"/>
      <w:r>
        <w:rPr>
          <w:rFonts w:ascii="Arial" w:cs="Arial" w:eastAsia="Arial" w:hAnsi="Arial"/>
          <w:b/>
          <w:bCs/>
          <w:color w:val="2B5C8A"/>
          <w:sz w:val="26"/>
          <w:szCs w:val="26"/>
          <w:rtl/>
        </w:rPr>
        <w:t xml:space="preserve">3.2 السجلات التشغيلية في القاعدة</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سجلات التطبيق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2"/>
        <w:bidi/>
      </w:pPr>
      <w:bookmarkStart w:name="_sec7" w:id="7"/>
      <w:r>
        <w:rPr>
          <w:rFonts w:ascii="Arial" w:cs="Arial" w:eastAsia="Arial" w:hAnsi="Arial"/>
          <w:b/>
          <w:bCs/>
          <w:color w:val="2B5C8A"/>
          <w:sz w:val="26"/>
          <w:szCs w:val="26"/>
          <w:rtl/>
        </w:rPr>
        <w:t xml:space="preserve">3.4 سجل أخطاء SQL Server</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2"/>
        <w:bidi/>
      </w:pPr>
      <w:bookmarkStart w:name="_sec8" w:id="8"/>
      <w:r>
        <w:rPr>
          <w:rFonts w:ascii="Arial" w:cs="Arial" w:eastAsia="Arial" w:hAnsi="Arial"/>
          <w:b/>
          <w:bCs/>
          <w:color w:val="2B5C8A"/>
          <w:sz w:val="26"/>
          <w:szCs w:val="26"/>
          <w:rtl/>
        </w:rPr>
        <w:t xml:space="preserve">3.5 SQL Server Audit (DQ-S08-10، DQ-S01-8) </w:t>
      </w:r>
      <w:r>
        <w:rPr>
          <w:rFonts w:ascii="Arial" w:cs="Arial" w:eastAsia="Arial" w:hAnsi="Arial"/>
          <w:color w:val="2E9E44"/>
          <w:sz w:val="26"/>
          <w:szCs w:val="26"/>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3.6 سجلات النظام والمحيط</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4. معرّف الارتباط من الطرف إلى الطرف</w:t>
      </w:r>
      <w:bookmarkEnd w:id="10"/>
    </w:p>
    <w:p>
      <w:pPr>
        <w:keepNext/>
        <w:bidi/>
        <w:spacing w:after="60" w:before="160"/>
        <w:jc w:val="center"/>
      </w:pPr>
      <w:r>
        <w:drawing>
          <wp:inline distT="0" distB="0" distL="0" distR="0">
            <wp:extent cx="6096000" cy="26860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3"/>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3"/>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1"/>
        <w:bidi/>
      </w:pPr>
      <w:bookmarkStart w:name="_sec11" w:id="11"/>
      <w:r>
        <w:rPr>
          <w:rFonts w:ascii="Arial" w:cs="Arial" w:eastAsia="Arial" w:hAnsi="Arial"/>
          <w:b/>
          <w:bCs/>
          <w:color w:val="1F3A5F"/>
          <w:sz w:val="32"/>
          <w:szCs w:val="32"/>
          <w:rtl/>
        </w:rPr>
        <w:t xml:space="preserve">5. الاحتفاظ والحماية</w:t>
      </w:r>
      <w:bookmarkEnd w:id="11"/>
    </w:p>
    <w:p>
      <w:pPr>
        <w:pStyle w:val="Heading2"/>
        <w:bidi/>
      </w:pPr>
      <w:bookmarkStart w:name="_sec12" w:id="12"/>
      <w:r>
        <w:rPr>
          <w:rFonts w:ascii="Arial" w:cs="Arial" w:eastAsia="Arial" w:hAnsi="Arial"/>
          <w:b/>
          <w:bCs/>
          <w:color w:val="2B5C8A"/>
          <w:sz w:val="26"/>
          <w:szCs w:val="26"/>
          <w:rtl/>
        </w:rPr>
        <w:t xml:space="preserve">5.1 مدد الاحتفاظ </w:t>
      </w:r>
      <w:r>
        <w:rPr>
          <w:rFonts w:ascii="Arial" w:cs="Arial" w:eastAsia="Arial" w:hAnsi="Arial"/>
          <w:color w:val="E0A800"/>
          <w:sz w:val="26"/>
          <w:szCs w:val="26"/>
          <w:rtl/>
        </w:rPr>
        <w:t xml:space="preserve">●</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2"/>
        <w:bidi/>
      </w:pPr>
      <w:bookmarkStart w:name="_sec13" w:id="13"/>
      <w:r>
        <w:rPr>
          <w:rFonts w:ascii="Arial" w:cs="Arial" w:eastAsia="Arial" w:hAnsi="Arial"/>
          <w:b/>
          <w:bCs/>
          <w:color w:val="2B5C8A"/>
          <w:sz w:val="26"/>
          <w:szCs w:val="26"/>
          <w:rtl/>
        </w:rPr>
        <w:t xml:space="preserve">5.2 الحماية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4"/>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4"/>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4"/>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4"/>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4"/>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4"/>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4"/>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2"/>
        <w:bidi/>
      </w:pPr>
      <w:bookmarkStart w:name="_sec14" w:id="14"/>
      <w:r>
        <w:rPr>
          <w:rFonts w:ascii="Arial" w:cs="Arial" w:eastAsia="Arial" w:hAnsi="Arial"/>
          <w:b/>
          <w:bCs/>
          <w:color w:val="2B5C8A"/>
          <w:sz w:val="26"/>
          <w:szCs w:val="26"/>
          <w:rtl/>
        </w:rPr>
        <w:t xml:space="preserve">5.3 مرساة سلسلة التدقيق (O-13 في 20-database-design) </w:t>
      </w:r>
      <w:r>
        <w:rPr>
          <w:rFonts w:ascii="Arial" w:cs="Arial" w:eastAsia="Arial" w:hAnsi="Arial"/>
          <w:color w:val="E0A800"/>
          <w:sz w:val="26"/>
          <w:szCs w:val="26"/>
          <w:rtl/>
        </w:rPr>
        <w:t xml:space="preserve">●</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1"/>
        <w:bidi/>
      </w:pPr>
      <w:bookmarkStart w:name="_sec15" w:id="15"/>
      <w:r>
        <w:rPr>
          <w:rFonts w:ascii="Arial" w:cs="Arial" w:eastAsia="Arial" w:hAnsi="Arial"/>
          <w:b/>
          <w:bCs/>
          <w:color w:val="1F3A5F"/>
          <w:sz w:val="32"/>
          <w:szCs w:val="32"/>
          <w:rtl/>
        </w:rPr>
        <w:t xml:space="preserve">6. المقاييس والتنبيهات</w:t>
      </w:r>
      <w:bookmarkEnd w:id="1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129"/>
        <w:gridCol w:w="2258"/>
        <w:gridCol w:w="1003"/>
        <w:gridCol w:w="979"/>
        <w:gridCol w:w="3516"/>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1"/>
        <w:bidi/>
      </w:pPr>
      <w:bookmarkStart w:name="_sec16" w:id="16"/>
      <w:r>
        <w:rPr>
          <w:rFonts w:ascii="Arial" w:cs="Arial" w:eastAsia="Arial" w:hAnsi="Arial"/>
          <w:b/>
          <w:bCs/>
          <w:color w:val="1F3A5F"/>
          <w:sz w:val="32"/>
          <w:szCs w:val="32"/>
          <w:rtl/>
        </w:rPr>
        <w:t xml:space="preserve">7. اللوحات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من يراجع ماذا ومتى </w:t>
      </w:r>
      <w:r>
        <w:rPr>
          <w:rFonts w:ascii="Arial" w:cs="Arial" w:eastAsia="Arial" w:hAnsi="Arial"/>
          <w:color w:val="E0A800"/>
          <w:sz w:val="32"/>
          <w:szCs w:val="32"/>
          <w:rtl/>
        </w:rPr>
        <w:t xml:space="preserve">●</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9. معايير القبول</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تعارضات وفجوات في المصادر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1"/>
        <w:bidi/>
      </w:pPr>
      <w:bookmarkStart w:name="_sec21" w:id="21"/>
      <w:r>
        <w:rPr>
          <w:rFonts w:ascii="Arial" w:cs="Arial" w:eastAsia="Arial" w:hAnsi="Arial"/>
          <w:b/>
          <w:bCs/>
          <w:color w:val="1F3A5F"/>
          <w:sz w:val="32"/>
          <w:szCs w:val="32"/>
          <w:rtl/>
        </w:rPr>
        <w:t xml:space="preserve">12.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DOC-S12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54a7bdaa1995d5fbf8f0d6ae636e40391a0e0c4.png"/><Relationship Id="rId10" Type="http://schemas.openxmlformats.org/officeDocument/2006/relationships/image" Target="media/5763f7a11351fa20c9b5c375b4214d08f265e45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DOC-S12 — متطلبات السجلات والمراقبة والتدقيق التشغيلي</dc:title>
  <dc:creator>Claude</dc:creator>
  <dc:description>BankFas database design document</dc:description>
  <cp:lastModifiedBy>Un-named</cp:lastModifiedBy>
  <cp:revision>1</cp:revision>
  <dcterms:created xsi:type="dcterms:W3CDTF">2026-10-13T23:31:06.039Z</dcterms:created>
  <dcterms:modified xsi:type="dcterms:W3CDTF">2026-10-13T23:31:06.039Z</dcterms:modified>
</cp:coreProperties>
</file>

<file path=docProps/custom.xml><?xml version="1.0" encoding="utf-8"?>
<Properties xmlns="http://schemas.openxmlformats.org/officeDocument/2006/custom-properties" xmlns:vt="http://schemas.openxmlformats.org/officeDocument/2006/docPropsVTypes"/>
</file>