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حزمة المراجعة الخارجية: قاعدة بيانات منصة الخزينة ومستندات الجاهزية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4"/>
        <w:gridCol w:w="7610"/>
      </w:tblGrid>
      <w:tr>
        <w:trPr>
          <w:cantSplit/>
          <w:tblHeader/>
        </w:trPr>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البيانات ومستندات الجاهزية جاهزة للمراجعة المستقلة؛ لم يُكتب كود التطبيق بعد</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2026-10-13</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المستودع والفرع</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‎thawrasy/smartlines‎</w:t>
            </w:r>
            <w:r>
              <w:rPr>
                <w:rFonts w:ascii="Arial" w:cs="Arial" w:eastAsia="Arial" w:hAnsi="Arial"/>
                <w:b w:val="false"/>
                <w:bCs w:val="false"/>
                <w:sz w:val="18"/>
                <w:szCs w:val="18"/>
                <w:rtl/>
              </w:rPr>
              <w:t xml:space="preserve">، الفرع </w:t>
            </w:r>
            <w:r>
              <w:rPr>
                <w:rFonts w:ascii="Courier New" w:cs="Courier New" w:eastAsia="Courier New" w:hAnsi="Courier New"/>
                <w:b w:val="false"/>
                <w:bCs w:val="false"/>
                <w:color w:val="1F2937"/>
                <w:sz w:val="16"/>
                <w:szCs w:val="16"/>
                <w:shd w:fill="F1F3F5" w:color="auto" w:val="clear"/>
                <w:rtl/>
              </w:rPr>
              <w:t xml:space="preserve">‎claude/quirky-gauss-z7hyro‎</w:t>
            </w:r>
            <w:r>
              <w:rPr>
                <w:rFonts w:ascii="Arial" w:cs="Arial" w:eastAsia="Arial" w:hAnsi="Arial"/>
                <w:b w:val="false"/>
                <w:bCs w:val="false"/>
                <w:sz w:val="18"/>
                <w:szCs w:val="18"/>
                <w:rtl/>
              </w:rPr>
              <w:t xml:space="preserve">، المجلد </w:t>
            </w:r>
            <w:r>
              <w:rPr>
                <w:rFonts w:ascii="Courier New" w:cs="Courier New" w:eastAsia="Courier New" w:hAnsi="Courier New"/>
                <w:b w:val="false"/>
                <w:bCs w:val="false"/>
                <w:color w:val="1F2937"/>
                <w:sz w:val="16"/>
                <w:szCs w:val="16"/>
                <w:shd w:fill="F1F3F5" w:color="auto" w:val="clear"/>
                <w:rtl/>
              </w:rPr>
              <w:t xml:space="preserve">‎treasury-platform/‎</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المراجِع المقصود</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قواعد بيانات أو مراجع أمني مستقل لم يشارك في التصميم</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اللغة</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بالعربية، والنموذج والـSQL والسكربتات وسجلات القرار المعمارية (ADR) بالإنجليزية</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w:t>
        </w:r>
      </w:hyperlink>
    </w:p>
    <w:p>
      <w:pPr>
        <w:bidi/>
        <w:spacing w:after="50" w:before="0"/>
        <w:ind w:left="0"/>
      </w:pPr>
      <w:hyperlink w:history="1" w:anchor="_sec2">
        <w:r>
          <w:rPr>
            <w:rFonts w:ascii="Arial" w:cs="Arial" w:eastAsia="Arial" w:hAnsi="Arial"/>
            <w:b/>
            <w:bCs/>
            <w:color w:val="1F3A5F"/>
            <w:sz w:val="20"/>
            <w:szCs w:val="20"/>
            <w:rtl/>
          </w:rPr>
          <w:t xml:space="preserve">2. ما الذي تغيّر منذ المراجعة السابقة</w:t>
        </w:r>
      </w:hyperlink>
    </w:p>
    <w:p>
      <w:pPr>
        <w:bidi/>
        <w:spacing w:after="50" w:before="0"/>
        <w:ind w:left="0"/>
      </w:pPr>
      <w:hyperlink w:history="1" w:anchor="_sec3">
        <w:r>
          <w:rPr>
            <w:rFonts w:ascii="Arial" w:cs="Arial" w:eastAsia="Arial" w:hAnsi="Arial"/>
            <w:b/>
            <w:bCs/>
            <w:color w:val="1F3A5F"/>
            <w:sz w:val="20"/>
            <w:szCs w:val="20"/>
            <w:rtl/>
          </w:rPr>
          <w:t xml:space="preserve">3. خريطة المواد</w:t>
        </w:r>
      </w:hyperlink>
    </w:p>
    <w:p>
      <w:pPr>
        <w:bidi/>
        <w:spacing w:after="50" w:before="0"/>
        <w:ind w:left="0"/>
      </w:pPr>
      <w:hyperlink w:history="1" w:anchor="_sec8">
        <w:r>
          <w:rPr>
            <w:rFonts w:ascii="Arial" w:cs="Arial" w:eastAsia="Arial" w:hAnsi="Arial"/>
            <w:b/>
            <w:bCs/>
            <w:color w:val="1F3A5F"/>
            <w:sz w:val="20"/>
            <w:szCs w:val="20"/>
            <w:rtl/>
          </w:rPr>
          <w:t xml:space="preserve">4. إعادة إنتاج النتيجة</w:t>
        </w:r>
      </w:hyperlink>
    </w:p>
    <w:p>
      <w:pPr>
        <w:bidi/>
        <w:spacing w:after="50" w:before="0"/>
        <w:ind w:left="0"/>
      </w:pPr>
      <w:hyperlink w:history="1" w:anchor="_sec12">
        <w:r>
          <w:rPr>
            <w:rFonts w:ascii="Arial" w:cs="Arial" w:eastAsia="Arial" w:hAnsi="Arial"/>
            <w:b/>
            <w:bCs/>
            <w:color w:val="1F3A5F"/>
            <w:sz w:val="20"/>
            <w:szCs w:val="20"/>
            <w:rtl/>
          </w:rPr>
          <w:t xml:space="preserve">5. الأدلة</w:t>
        </w:r>
      </w:hyperlink>
    </w:p>
    <w:p>
      <w:pPr>
        <w:bidi/>
        <w:spacing w:after="50" w:before="0"/>
        <w:ind w:left="0"/>
      </w:pPr>
      <w:hyperlink w:history="1" w:anchor="_sec13">
        <w:r>
          <w:rPr>
            <w:rFonts w:ascii="Arial" w:cs="Arial" w:eastAsia="Arial" w:hAnsi="Arial"/>
            <w:b/>
            <w:bCs/>
            <w:color w:val="1F3A5F"/>
            <w:sz w:val="20"/>
            <w:szCs w:val="20"/>
            <w:rtl/>
          </w:rPr>
          <w:t xml:space="preserve">6. أنماط تصميم يحسن أن يعرفها المراجع</w:t>
        </w:r>
      </w:hyperlink>
    </w:p>
    <w:p>
      <w:pPr>
        <w:bidi/>
        <w:spacing w:after="50" w:before="0"/>
        <w:ind w:left="0"/>
      </w:pPr>
      <w:hyperlink w:history="1" w:anchor="_sec14">
        <w:r>
          <w:rPr>
            <w:rFonts w:ascii="Arial" w:cs="Arial" w:eastAsia="Arial" w:hAnsi="Arial"/>
            <w:b/>
            <w:bCs/>
            <w:color w:val="1F3A5F"/>
            <w:sz w:val="20"/>
            <w:szCs w:val="20"/>
            <w:rtl/>
          </w:rPr>
          <w:t xml:space="preserve">7. الحدود المعروفة والمؤجل</w:t>
        </w:r>
      </w:hyperlink>
    </w:p>
    <w:p>
      <w:pPr>
        <w:bidi/>
        <w:spacing w:after="50" w:before="0"/>
        <w:ind w:left="0"/>
      </w:pPr>
      <w:hyperlink w:history="1" w:anchor="_sec15">
        <w:r>
          <w:rPr>
            <w:rFonts w:ascii="Arial" w:cs="Arial" w:eastAsia="Arial" w:hAnsi="Arial"/>
            <w:b/>
            <w:bCs/>
            <w:color w:val="1F3A5F"/>
            <w:sz w:val="20"/>
            <w:szCs w:val="20"/>
            <w:rtl/>
          </w:rPr>
          <w:t xml:space="preserve">8. أسئلة نطلب رأي المراجع فيها</w:t>
        </w:r>
      </w:hyperlink>
    </w:p>
    <w:p>
      <w:pPr>
        <w:bidi/>
        <w:spacing w:after="50" w:before="0"/>
        <w:ind w:left="0"/>
      </w:pPr>
      <w:hyperlink w:history="1" w:anchor="_sec16">
        <w:r>
          <w:rPr>
            <w:rFonts w:ascii="Arial" w:cs="Arial" w:eastAsia="Arial" w:hAnsi="Arial"/>
            <w:b/>
            <w:bCs/>
            <w:color w:val="1F3A5F"/>
            <w:sz w:val="20"/>
            <w:szCs w:val="20"/>
            <w:rtl/>
          </w:rPr>
          <w:t xml:space="preserve">9. طريقة إرسال النتائج</w:t>
        </w:r>
      </w:hyperlink>
    </w:p>
    <w:p>
      <w:r>
        <w:br w:type="page"/>
      </w:r>
    </w:p>
    <w:p>
      <w:pPr>
        <w:pStyle w:val="Heading1"/>
        <w:bidi/>
      </w:pPr>
      <w:bookmarkStart w:name="_sec1" w:id="1"/>
      <w:r>
        <w:rPr>
          <w:rFonts w:ascii="Arial" w:cs="Arial" w:eastAsia="Arial" w:hAnsi="Arial"/>
          <w:b/>
          <w:bCs/>
          <w:color w:val="1F3A5F"/>
          <w:sz w:val="32"/>
          <w:szCs w:val="32"/>
          <w:rtl/>
        </w:rPr>
        <w:t xml:space="preserve">1. الغرض</w:t>
      </w:r>
      <w:bookmarkEnd w:id="1"/>
    </w:p>
    <w:p>
      <w:pPr>
        <w:bidi/>
        <w:spacing w:after="110" w:before="0" w:line="312"/>
      </w:pPr>
      <w:r>
        <w:rPr>
          <w:rFonts w:ascii="Arial" w:cs="Arial" w:eastAsia="Arial" w:hAnsi="Arial"/>
          <w:b w:val="false"/>
          <w:bCs w:val="false"/>
          <w:sz w:val="21"/>
          <w:szCs w:val="21"/>
          <w:rtl/>
        </w:rPr>
        <w:t xml:space="preserve">تسلّم هذه الحزمة إلى مراجع خارجي قبل بدء كود الشريحة S0. وتجيب عن أربعة أسئلة:</w:t>
      </w:r>
    </w:p>
    <w:p>
      <w:pPr>
        <w:pStyle w:val="ListParagraph"/>
        <w:numPr>
          <w:ilvl w:val="0"/>
          <w:numId w:val="2"/>
        </w:numPr>
        <w:bidi/>
        <w:spacing w:after="70" w:before="0" w:line="300"/>
      </w:pPr>
      <w:r>
        <w:rPr>
          <w:rFonts w:ascii="Arial" w:cs="Arial" w:eastAsia="Arial" w:hAnsi="Arial"/>
          <w:b/>
          <w:bCs/>
          <w:sz w:val="21"/>
          <w:szCs w:val="21"/>
          <w:rtl/>
        </w:rPr>
        <w:t xml:space="preserve">ما الذي يُراجَع؟</w:t>
      </w:r>
      <w:r>
        <w:rPr>
          <w:rFonts w:ascii="Arial" w:cs="Arial" w:eastAsia="Arial" w:hAnsi="Arial"/>
          <w:b w:val="false"/>
          <w:bCs w:val="false"/>
          <w:sz w:val="21"/>
          <w:szCs w:val="21"/>
          <w:rtl/>
        </w:rPr>
        <w:t xml:space="preserve"> خريطة المواد في القسم 3.</w:t>
      </w:r>
    </w:p>
    <w:p>
      <w:pPr>
        <w:pStyle w:val="ListParagraph"/>
        <w:numPr>
          <w:ilvl w:val="0"/>
          <w:numId w:val="2"/>
        </w:numPr>
        <w:bidi/>
        <w:spacing w:after="70" w:before="0" w:line="300"/>
      </w:pPr>
      <w:r>
        <w:rPr>
          <w:rFonts w:ascii="Arial" w:cs="Arial" w:eastAsia="Arial" w:hAnsi="Arial"/>
          <w:b/>
          <w:bCs/>
          <w:sz w:val="21"/>
          <w:szCs w:val="21"/>
          <w:rtl/>
        </w:rPr>
        <w:t xml:space="preserve">كيف يُعاد إنتاج النتيجة؟</w:t>
      </w:r>
      <w:r>
        <w:rPr>
          <w:rFonts w:ascii="Arial" w:cs="Arial" w:eastAsia="Arial" w:hAnsi="Arial"/>
          <w:b w:val="false"/>
          <w:bCs w:val="false"/>
          <w:sz w:val="21"/>
          <w:szCs w:val="21"/>
          <w:rtl/>
        </w:rPr>
        <w:t xml:space="preserve"> الأوامر والنتائج المتوقعة في القسم 4.</w:t>
      </w:r>
    </w:p>
    <w:p>
      <w:pPr>
        <w:pStyle w:val="ListParagraph"/>
        <w:numPr>
          <w:ilvl w:val="0"/>
          <w:numId w:val="2"/>
        </w:numPr>
        <w:bidi/>
        <w:spacing w:after="70" w:before="0" w:line="300"/>
      </w:pPr>
      <w:r>
        <w:rPr>
          <w:rFonts w:ascii="Arial" w:cs="Arial" w:eastAsia="Arial" w:hAnsi="Arial"/>
          <w:b/>
          <w:bCs/>
          <w:sz w:val="21"/>
          <w:szCs w:val="21"/>
          <w:rtl/>
        </w:rPr>
        <w:t xml:space="preserve">ما الأدلة الموجودة؟</w:t>
      </w:r>
      <w:r>
        <w:rPr>
          <w:rFonts w:ascii="Arial" w:cs="Arial" w:eastAsia="Arial" w:hAnsi="Arial"/>
          <w:b w:val="false"/>
          <w:bCs w:val="false"/>
          <w:sz w:val="21"/>
          <w:szCs w:val="21"/>
          <w:rtl/>
        </w:rPr>
        <w:t xml:space="preserve"> القسم 5.</w:t>
      </w:r>
    </w:p>
    <w:p>
      <w:pPr>
        <w:pStyle w:val="ListParagraph"/>
        <w:numPr>
          <w:ilvl w:val="0"/>
          <w:numId w:val="2"/>
        </w:numPr>
        <w:bidi/>
        <w:spacing w:after="70" w:before="0" w:line="300"/>
      </w:pPr>
      <w:r>
        <w:rPr>
          <w:rFonts w:ascii="Arial" w:cs="Arial" w:eastAsia="Arial" w:hAnsi="Arial"/>
          <w:b/>
          <w:bCs/>
          <w:sz w:val="21"/>
          <w:szCs w:val="21"/>
          <w:rtl/>
        </w:rPr>
        <w:t xml:space="preserve">أين نطلب رأي المراجع تحديدًا؟</w:t>
      </w:r>
      <w:r>
        <w:rPr>
          <w:rFonts w:ascii="Arial" w:cs="Arial" w:eastAsia="Arial" w:hAnsi="Arial"/>
          <w:b w:val="false"/>
          <w:bCs w:val="false"/>
          <w:sz w:val="21"/>
          <w:szCs w:val="21"/>
          <w:rtl/>
        </w:rPr>
        <w:t xml:space="preserve"> الأسئلة في القسم 8.</w:t>
      </w:r>
    </w:p>
    <w:p>
      <w:pPr>
        <w:bidi/>
        <w:spacing w:after="60" w:before="0"/>
      </w:pPr>
    </w:p>
    <w:p>
      <w:pPr>
        <w:bidi/>
        <w:spacing w:after="110" w:before="0" w:line="312"/>
      </w:pPr>
      <w:r>
        <w:rPr>
          <w:rFonts w:ascii="Arial" w:cs="Arial" w:eastAsia="Arial" w:hAnsi="Arial"/>
          <w:b w:val="false"/>
          <w:bCs w:val="false"/>
          <w:sz w:val="21"/>
          <w:szCs w:val="21"/>
          <w:rtl/>
        </w:rPr>
        <w:t xml:space="preserve">ولا تدّعي الحزمة أن التصميم خالٍ من العيوب. فالقسم 7 يسرد الحدود المعروفة والبنود المؤجلة كما هي.</w:t>
      </w:r>
    </w:p>
    <w:p>
      <w:pPr>
        <w:pStyle w:val="Heading1"/>
        <w:bidi/>
      </w:pPr>
      <w:bookmarkStart w:name="_sec2" w:id="2"/>
      <w:r>
        <w:rPr>
          <w:rFonts w:ascii="Arial" w:cs="Arial" w:eastAsia="Arial" w:hAnsi="Arial"/>
          <w:b/>
          <w:bCs/>
          <w:color w:val="1F3A5F"/>
          <w:sz w:val="32"/>
          <w:szCs w:val="32"/>
          <w:rtl/>
        </w:rPr>
        <w:t xml:space="preserve">2. ما الذي تغيّر منذ المراجعة السابقة</w:t>
      </w:r>
      <w:bookmarkEnd w:id="2"/>
    </w:p>
    <w:p>
      <w:pPr>
        <w:bidi/>
        <w:spacing w:after="110" w:before="0" w:line="312"/>
      </w:pPr>
      <w:r>
        <w:rPr>
          <w:rFonts w:ascii="Arial" w:cs="Arial" w:eastAsia="Arial" w:hAnsi="Arial"/>
          <w:b w:val="false"/>
          <w:bCs w:val="false"/>
          <w:sz w:val="21"/>
          <w:szCs w:val="21"/>
          <w:rtl/>
        </w:rPr>
        <w:t xml:space="preserve">راجع خمسة مراجعين التصميمَ في 2026-10-11، ووجدوا 50 نتيجة: 10 حرجة و36 رئيسية و4 طفيفة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338"/>
        <w:gridCol w:w="5464"/>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طُبّق</w:t>
            </w:r>
          </w:p>
        </w:tc>
        <w:tc>
          <w:tcPr>
            <w:tcW w:type="dxa" w:w="5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الحرجة العشر</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مُطبَّقة في النموذج والـDDL</w:t>
            </w:r>
          </w:p>
        </w:tc>
        <w:tc>
          <w:tcPr>
            <w:tcW w:type="dxa" w:w="5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الدفعة (أ)</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p>
        </w:tc>
        <w:tc>
          <w:tcPr>
            <w:tcW w:type="dxa" w:w="5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0011؛ RF1 إلى RF18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الدفعة (ب): شروط دخول الشرائح S1 إلى S4</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البنود، في النموذج و</w:t>
            </w:r>
            <w:r>
              <w:rPr>
                <w:rFonts w:ascii="Courier New" w:cs="Courier New" w:eastAsia="Courier New" w:hAnsi="Courier New"/>
                <w:b w:val="false"/>
                <w:bCs w:val="false"/>
                <w:color w:val="1F2937"/>
                <w:sz w:val="16"/>
                <w:szCs w:val="16"/>
                <w:shd w:fill="F1F3F5" w:color="auto" w:val="clear"/>
                <w:rtl/>
              </w:rPr>
              <w:t xml:space="preserve">‎044_entry_guards.sql‎</w:t>
            </w:r>
          </w:p>
        </w:tc>
        <w:tc>
          <w:tcPr>
            <w:tcW w:type="dxa" w:w="5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ADR 0011؛ RF19 إلى RF34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 مُطبَّقة وواحدة محلولة بنتيجة أخرى (DR-20 بـ DR-02)</w:t>
            </w:r>
          </w:p>
        </w:tc>
        <w:tc>
          <w:tcPr>
            <w:tcW w:type="dxa" w:w="5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§5</w:t>
            </w:r>
          </w:p>
        </w:tc>
      </w:tr>
    </w:tbl>
    <w:p>
      <w:pPr>
        <w:bidi/>
        <w:spacing w:after="120" w:before="0"/>
      </w:pPr>
    </w:p>
    <w:p>
      <w:pPr>
        <w:bidi/>
        <w:spacing w:after="110" w:before="0" w:line="312"/>
      </w:pPr>
      <w:r>
        <w:rPr>
          <w:rFonts w:ascii="Arial" w:cs="Arial" w:eastAsia="Arial" w:hAnsi="Arial"/>
          <w:b w:val="false"/>
          <w:bCs w:val="false"/>
          <w:sz w:val="21"/>
          <w:szCs w:val="21"/>
          <w:rtl/>
        </w:rPr>
        <w:t xml:space="preserve">وأُضيف بعد المراجعة أيضًا:</w:t>
      </w:r>
    </w:p>
    <w:p>
      <w:pPr>
        <w:pStyle w:val="ListParagraph"/>
        <w:numPr>
          <w:ilvl w:val="0"/>
          <w:numId w:val="3"/>
        </w:numPr>
        <w:bidi/>
        <w:spacing w:after="70" w:before="0" w:line="300"/>
      </w:pPr>
      <w:r>
        <w:rPr>
          <w:rFonts w:ascii="Arial" w:cs="Arial" w:eastAsia="Arial" w:hAnsi="Arial"/>
          <w:b w:val="false"/>
          <w:bCs w:val="false"/>
          <w:sz w:val="21"/>
          <w:szCs w:val="21"/>
          <w:rtl/>
        </w:rPr>
        <w:t xml:space="preserve">تدقيق خادم SQL Server ونوافذ الصيانة المعلنة وقواعد التنبيه AL-18 (ADR 0012).</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مراقبة بصلاحيات العرض وحدها، وفحص ما بعد النشر يعمل به (ADR 0013).</w:t>
      </w:r>
    </w:p>
    <w:p>
      <w:pPr>
        <w:pStyle w:val="ListParagraph"/>
        <w:numPr>
          <w:ilvl w:val="0"/>
          <w:numId w:val="3"/>
        </w:numPr>
        <w:bidi/>
        <w:spacing w:after="70" w:before="0" w:line="300"/>
      </w:pPr>
      <w:r>
        <w:rPr>
          <w:rFonts w:ascii="Arial" w:cs="Arial" w:eastAsia="Arial" w:hAnsi="Arial"/>
          <w:b w:val="false"/>
          <w:bCs w:val="false"/>
          <w:sz w:val="21"/>
          <w:szCs w:val="21"/>
          <w:rtl/>
        </w:rPr>
        <w:t xml:space="preserve">الفحص التمهيدي للنشر، وسجل الإصدارات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وبوابة الإصدارات G4 (ADR 0014).</w:t>
      </w:r>
    </w:p>
    <w:p>
      <w:pPr>
        <w:bidi/>
        <w:spacing w:after="60" w:before="0"/>
      </w:pPr>
    </w:p>
    <w:p>
      <w:pPr>
        <w:pStyle w:val="Heading1"/>
        <w:bidi/>
      </w:pPr>
      <w:bookmarkStart w:name="_sec3" w:id="3"/>
      <w:r>
        <w:rPr>
          <w:rFonts w:ascii="Arial" w:cs="Arial" w:eastAsia="Arial" w:hAnsi="Arial"/>
          <w:b/>
          <w:bCs/>
          <w:color w:val="1F3A5F"/>
          <w:sz w:val="32"/>
          <w:szCs w:val="32"/>
          <w:rtl/>
        </w:rPr>
        <w:t xml:space="preserve">3. خريطة المواد</w:t>
      </w:r>
      <w:bookmarkEnd w:id="3"/>
    </w:p>
    <w:p>
      <w:pPr>
        <w:pStyle w:val="Heading2"/>
        <w:bidi/>
      </w:pPr>
      <w:bookmarkStart w:name="_sec4" w:id="4"/>
      <w:r>
        <w:rPr>
          <w:rFonts w:ascii="Arial" w:cs="Arial" w:eastAsia="Arial" w:hAnsi="Arial"/>
          <w:b/>
          <w:bCs/>
          <w:color w:val="2B5C8A"/>
          <w:sz w:val="26"/>
          <w:szCs w:val="26"/>
          <w:rtl/>
        </w:rPr>
        <w:t xml:space="preserve">3.1 التحليل والمواصفات</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0"/>
        <w:gridCol w:w="7664"/>
      </w:tblGrid>
      <w:tr>
        <w:trPr>
          <w:cantSplit/>
          <w:tblHeader/>
        </w:trPr>
        <w:tc>
          <w:tcPr>
            <w:tcW w:type="dxa" w:w="2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7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التحليلات الأولية: النماذج وUCP 600 والتعهدات المالية واتفاقيات التسهيلات وKYC</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‎docs/01‎</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‎docs/05‎</w:t>
            </w:r>
          </w:p>
        </w:tc>
      </w:tr>
      <w:tr>
        <w:trPr>
          <w:cantSplit/>
        </w:trPr>
        <w:tc>
          <w:tcPr>
            <w:tcW w:type="dxa" w:w="2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التحليل التفصيلية: الإطار العام والوحدات م0 إلى م8 والأسئلة المفتوحة وفهرس المتطلبات</w:t>
            </w:r>
          </w:p>
        </w:tc>
        <w:tc>
          <w:tcPr>
            <w:tcW w:type="dxa" w:w="7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‎docs/10-detailed-analysis/‎</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‎docs/10-DETAILED-ANALYSIS.docx‎</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قرارات المالك</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‎docs/31-owner-decisions.md‎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‎docs/31-OWNER-DECISIONS.docx‎</w:t>
            </w:r>
          </w:p>
        </w:tc>
      </w:tr>
      <w:tr>
        <w:trPr>
          <w:cantSplit/>
        </w:trPr>
        <w:tc>
          <w:tcPr>
            <w:tcW w:type="dxa" w:w="2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قرارات نتائج المراجعة</w:t>
            </w:r>
          </w:p>
        </w:tc>
        <w:tc>
          <w:tcPr>
            <w:tcW w:type="dxa" w:w="7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‎docs/32-REVIEW-FINDINGS-DECISIONS.docx‎</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قاعدة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8"/>
        <w:gridCol w:w="5062"/>
        <w:gridCol w:w="3634"/>
      </w:tblGrid>
      <w:tr>
        <w:trPr>
          <w:cantSplit/>
          <w:tblHeader/>
        </w:trPr>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5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الوحيد للحقيقة: النموذج</w:t>
            </w:r>
          </w:p>
        </w:tc>
        <w:tc>
          <w:tcPr>
            <w:tcW w:type="dxa" w:w="5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‎db/model/10-…16-*.model‎</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بلغة وصف (DSL) يقرؤها المولّد</w:t>
            </w:r>
          </w:p>
        </w:tc>
      </w:tr>
      <w:tr>
        <w:trPr>
          <w:cantSplit/>
        </w:trPr>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‎tools/dbgen/dbgen.py‎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‎README.md‎</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T-SQL ونسخة PostgreSQL للتحقق البنيوي</w:t>
            </w:r>
          </w:p>
        </w:tc>
      </w:tr>
      <w:tr>
        <w:trPr>
          <w:cantSplit/>
        </w:trPr>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الـDDL المولَّد</w:t>
            </w:r>
          </w:p>
        </w:tc>
        <w:tc>
          <w:tcPr>
            <w:tcW w:type="dxa" w:w="5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‎db/generated/tsql/000…007‎</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يُعدَّل يدويًا؛ الخطوة 2 في CI تفشل إن خالف النموذج</w:t>
            </w:r>
          </w:p>
        </w:tc>
      </w:tr>
      <w:tr>
        <w:trPr>
          <w:cantSplit/>
        </w:trPr>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السكربتات الثابتة</w:t>
            </w:r>
          </w:p>
        </w:tc>
        <w:tc>
          <w:tcPr>
            <w:tcW w:type="dxa" w:w="5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‎db/static/010…050‎</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على مستوى الصف (RLS)، والأدوار، والدخول والجلسات، والترقيم، والحراس (043، 044)، وقاعدة الحصص (050)</w:t>
            </w:r>
          </w:p>
        </w:tc>
      </w:tr>
      <w:tr>
        <w:trPr>
          <w:cantSplit/>
        </w:trPr>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c>
          <w:tcPr>
            <w:tcW w:type="dxa" w:w="5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‎db/seed/100…103‎</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والمهام والدول والعملات والصلاحيات وIncoterms ومواد UCP</w:t>
            </w:r>
          </w:p>
        </w:tc>
      </w:tr>
      <w:tr>
        <w:trPr>
          <w:cantSplit/>
        </w:trPr>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التشغيل</w:t>
            </w:r>
          </w:p>
        </w:tc>
        <w:tc>
          <w:tcPr>
            <w:tcW w:type="dxa" w:w="5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‎db/ops/*.sql‎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‎tools/deploy/*.sh‎</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التحضير والنشر وحسابات الخدمة والتدقيق والمراقبة والفحص التمهيدي</w:t>
            </w:r>
          </w:p>
        </w:tc>
      </w:tr>
      <w:tr>
        <w:trPr>
          <w:cantSplit/>
        </w:trPr>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5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‎db/deploy.sql‎</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يُنشر على قاعدة فارغة فقط</w:t>
            </w:r>
          </w:p>
        </w:tc>
      </w:tr>
      <w:tr>
        <w:trPr>
          <w:cantSplit/>
        </w:trPr>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التصميم</w:t>
            </w:r>
          </w:p>
        </w:tc>
        <w:tc>
          <w:tcPr>
            <w:tcW w:type="dxa" w:w="5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‎docs/20-database-design.md‎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‎docs/20-database-design.docx‎</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وحدودها، والقسمان 14 و16 للأدلة والحدود</w:t>
            </w:r>
          </w:p>
        </w:tc>
      </w:tr>
      <w:tr>
        <w:trPr>
          <w:cantSplit/>
        </w:trPr>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والمخططات</w:t>
            </w:r>
          </w:p>
        </w:tc>
        <w:tc>
          <w:tcPr>
            <w:tcW w:type="dxa" w:w="5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‎docs/20-database-design-and-erd.md‎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‎docs/20-DATABASE-DESIGN-AND-ERD.docx‎</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بـ </w:t>
            </w:r>
            <w:r>
              <w:rPr>
                <w:rFonts w:ascii="Courier New" w:cs="Courier New" w:eastAsia="Courier New" w:hAnsi="Courier New"/>
                <w:b w:val="false"/>
                <w:bCs w:val="false"/>
                <w:color w:val="1F2937"/>
                <w:sz w:val="16"/>
                <w:szCs w:val="16"/>
                <w:shd w:fill="F1F3F5" w:color="auto" w:val="clear"/>
                <w:rtl/>
              </w:rPr>
              <w:t xml:space="preserve">‎tools/dbgen/build_erd_doc.py‎</w:t>
            </w:r>
          </w:p>
        </w:tc>
      </w:tr>
      <w:tr>
        <w:trPr>
          <w:cantSplit/>
        </w:trPr>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العلاقات</w:t>
            </w:r>
          </w:p>
        </w:tc>
        <w:tc>
          <w:tcPr>
            <w:tcW w:type="dxa" w:w="5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‎docs/diagrams/erd-en/*.png‎</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‎docs/20-DATABASE-RELATIONSHIPS-ERD.docx‎</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تُولَّد من النموذج</w:t>
            </w:r>
          </w:p>
        </w:tc>
      </w:tr>
      <w:tr>
        <w:trPr>
          <w:cantSplit/>
        </w:trPr>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قاموس البيانات والمخطط لكل مخطط</w:t>
            </w:r>
          </w:p>
        </w:tc>
        <w:tc>
          <w:tcPr>
            <w:tcW w:type="dxa" w:w="5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‎docs/21-data-dictionary.md‎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‎docs/22-erd-by-schema.md‎</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يولّدهما المولّد</w:t>
            </w:r>
          </w:p>
        </w:tc>
      </w:tr>
      <w:tr>
        <w:trPr>
          <w:cantSplit/>
        </w:trPr>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القرار المعمارية</w:t>
            </w:r>
          </w:p>
        </w:tc>
        <w:tc>
          <w:tcPr>
            <w:tcW w:type="dxa" w:w="5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‎docs/adr/0001…0014‎</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3.4</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3.3 مستندات الجاهزية</w:t>
      </w:r>
      <w:bookmarkEnd w:id="6"/>
    </w:p>
    <w:p>
      <w:pPr>
        <w:bidi/>
        <w:spacing w:after="110" w:before="0" w:line="312"/>
      </w:pPr>
      <w:r>
        <w:rPr>
          <w:rFonts w:ascii="Arial" w:cs="Arial" w:eastAsia="Arial" w:hAnsi="Arial"/>
          <w:b w:val="false"/>
          <w:bCs w:val="false"/>
          <w:sz w:val="21"/>
          <w:szCs w:val="21"/>
          <w:rtl/>
        </w:rPr>
        <w:t xml:space="preserve">43 مستندًا في </w:t>
      </w:r>
      <w:r>
        <w:rPr>
          <w:rFonts w:ascii="Courier New" w:cs="Courier New" w:eastAsia="Courier New" w:hAnsi="Courier New"/>
          <w:b w:val="false"/>
          <w:bCs w:val="false"/>
          <w:color w:val="1F2937"/>
          <w:sz w:val="18"/>
          <w:szCs w:val="18"/>
          <w:shd w:fill="F1F3F5" w:color="auto" w:val="clear"/>
          <w:rtl/>
        </w:rPr>
        <w:t xml:space="preserve">‎docs/30-readiness/‎</w:t>
      </w:r>
      <w:r>
        <w:rPr>
          <w:rFonts w:ascii="Arial" w:cs="Arial" w:eastAsia="Arial" w:hAnsi="Arial"/>
          <w:b w:val="false"/>
          <w:bCs w:val="false"/>
          <w:sz w:val="21"/>
          <w:szCs w:val="21"/>
          <w:rtl/>
        </w:rPr>
        <w:t xml:space="preserve"> (DOC-F وDOC-S وDOC-B)، وسجلها في </w:t>
      </w:r>
      <w:r>
        <w:rPr>
          <w:rFonts w:ascii="Courier New" w:cs="Courier New" w:eastAsia="Courier New" w:hAnsi="Courier New"/>
          <w:b w:val="false"/>
          <w:bCs w:val="false"/>
          <w:color w:val="1F2937"/>
          <w:sz w:val="18"/>
          <w:szCs w:val="18"/>
          <w:shd w:fill="F1F3F5" w:color="auto" w:val="clear"/>
          <w:rtl/>
        </w:rPr>
        <w:t xml:space="preserve">‎docs/30-readiness-documents.md‎</w:t>
      </w:r>
      <w:r>
        <w:rPr>
          <w:rFonts w:ascii="Arial" w:cs="Arial" w:eastAsia="Arial" w:hAnsi="Arial"/>
          <w:b w:val="false"/>
          <w:bCs w:val="false"/>
          <w:sz w:val="21"/>
          <w:szCs w:val="21"/>
          <w:rtl/>
        </w:rPr>
        <w:t xml:space="preserve">. وتُجمع في مجلدين: </w:t>
      </w:r>
      <w:r>
        <w:rPr>
          <w:rFonts w:ascii="Courier New" w:cs="Courier New" w:eastAsia="Courier New" w:hAnsi="Courier New"/>
          <w:b w:val="false"/>
          <w:bCs w:val="false"/>
          <w:color w:val="1F2937"/>
          <w:sz w:val="18"/>
          <w:szCs w:val="18"/>
          <w:shd w:fill="F1F3F5" w:color="auto" w:val="clear"/>
          <w:rtl/>
        </w:rPr>
        <w:t xml:space="preserve">‎docs/30-READINESS-P0.docx‎</w:t>
      </w:r>
      <w:r>
        <w:rPr>
          <w:rFonts w:ascii="Arial" w:cs="Arial" w:eastAsia="Arial" w:hAnsi="Arial"/>
          <w:b w:val="false"/>
          <w:bCs w:val="false"/>
          <w:sz w:val="21"/>
          <w:szCs w:val="21"/>
          <w:rtl/>
        </w:rPr>
        <w:t xml:space="preserve"> (قبل S0) و</w:t>
      </w:r>
      <w:r>
        <w:rPr>
          <w:rFonts w:ascii="Courier New" w:cs="Courier New" w:eastAsia="Courier New" w:hAnsi="Courier New"/>
          <w:b w:val="false"/>
          <w:bCs w:val="false"/>
          <w:color w:val="1F2937"/>
          <w:sz w:val="18"/>
          <w:szCs w:val="18"/>
          <w:shd w:fill="F1F3F5" w:color="auto" w:val="clear"/>
          <w:rtl/>
        </w:rPr>
        <w:t xml:space="preserve">‎docs/30-READINESS-P1-P2.docx‎</w:t>
      </w:r>
      <w:r>
        <w:rPr>
          <w:rFonts w:ascii="Arial" w:cs="Arial" w:eastAsia="Arial" w:hAnsi="Arial"/>
          <w:b w:val="false"/>
          <w:bCs w:val="false"/>
          <w:sz w:val="21"/>
          <w:szCs w:val="21"/>
          <w:rtl/>
        </w:rPr>
        <w:t xml:space="preserve">. وكل قرار فيها (DQ-…) يحمل حالته: معتمد أو منفّذ أو مقترح.</w:t>
      </w:r>
    </w:p>
    <w:p>
      <w:pPr>
        <w:pStyle w:val="Heading2"/>
        <w:bidi/>
      </w:pPr>
      <w:bookmarkStart w:name="_sec7" w:id="7"/>
      <w:r>
        <w:rPr>
          <w:rFonts w:ascii="Arial" w:cs="Arial" w:eastAsia="Arial" w:hAnsi="Arial"/>
          <w:b/>
          <w:bCs/>
          <w:color w:val="2B5C8A"/>
          <w:sz w:val="26"/>
          <w:szCs w:val="26"/>
          <w:rtl/>
        </w:rPr>
        <w:t xml:space="preserve">3.4 سجلات القرار المعمارية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7892"/>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ADR</w:t>
            </w:r>
          </w:p>
        </w:tc>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على Ubuntu 24.04، والعمل على المخطط وCI على Linux</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وسياق المشترك المربوط بالجلسة داخل القاعدة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الحساب والتحقق متعدد العوامل (MFA) الإلزامي والوصول بحسب حالة المشترك</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وربط الدعم والمهام وتهيئة المشترك وإعداداته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وبذور المنصة المرجعية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متتاليًا على بيانات KYC، ونسخ ملفات الاكتمال ثابتة بعد التفعيل</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تدقق أحداث إجراءاتها الأمنية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0008</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عبر إجراءات، وفي SUSPENDED وCLOSED أيضًا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0009</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لكل عملية، بأسرار خاصة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0010</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وCI ينشر بالطريقة نفسها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نتائج المراجعة، وتعديلاته لشروط دخول الشرائح</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خادم SQL Server والنوافذ المعلنة وتنبيهات AL-18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وفحص ما بعد النشر، ولا ثقة تلقائية بالشهادة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التمهيدي للنشر وسجل الإصدارات والبوابة G4</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4. إعادة إنتاج النتيجة</w:t>
      </w:r>
      <w:bookmarkEnd w:id="8"/>
    </w:p>
    <w:p>
      <w:pPr>
        <w:pStyle w:val="Heading2"/>
        <w:bidi/>
      </w:pPr>
      <w:bookmarkStart w:name="_sec9" w:id="9"/>
      <w:r>
        <w:rPr>
          <w:rFonts w:ascii="Arial" w:cs="Arial" w:eastAsia="Arial" w:hAnsi="Arial"/>
          <w:b/>
          <w:bCs/>
          <w:color w:val="2B5C8A"/>
          <w:sz w:val="26"/>
          <w:szCs w:val="26"/>
          <w:rtl/>
        </w:rPr>
        <w:t xml:space="preserve">4.1 المتطلبات</w:t>
      </w:r>
      <w:bookmarkEnd w:id="9"/>
    </w:p>
    <w:p>
      <w:pPr>
        <w:pStyle w:val="ListParagraph"/>
        <w:numPr>
          <w:ilvl w:val="0"/>
          <w:numId w:val="3"/>
        </w:numPr>
        <w:bidi/>
        <w:spacing w:after="70" w:before="0" w:line="300"/>
      </w:pPr>
      <w:r>
        <w:rPr>
          <w:rFonts w:ascii="Arial" w:cs="Arial" w:eastAsia="Arial" w:hAnsi="Arial"/>
          <w:b w:val="false"/>
          <w:bCs w:val="false"/>
          <w:sz w:val="21"/>
          <w:szCs w:val="21"/>
          <w:rtl/>
        </w:rPr>
        <w:t xml:space="preserve">Docker وصورة SQL Server المثبّتة في السجل: </w:t>
      </w:r>
      <w:r>
        <w:rPr>
          <w:rFonts w:ascii="Courier New" w:cs="Courier New" w:eastAsia="Courier New" w:hAnsi="Courier New"/>
          <w:b w:val="false"/>
          <w:bCs w:val="false"/>
          <w:color w:val="1F2937"/>
          <w:sz w:val="18"/>
          <w:szCs w:val="18"/>
          <w:shd w:fill="F1F3F5" w:color="auto" w:val="clear"/>
          <w:rtl/>
        </w:rPr>
        <w:t xml:space="preserve">‎mcr.microsoft.com/mssql/server:2025-CU9-GDR1-ubuntu-24.04‎</w:t>
      </w:r>
      <w:r>
        <w:rPr>
          <w:rFonts w:ascii="Arial" w:cs="Arial" w:eastAsia="Arial" w:hAnsi="Arial"/>
          <w:b w:val="false"/>
          <w:bCs w:val="false"/>
          <w:sz w:val="21"/>
          <w:szCs w:val="21"/>
          <w:rtl/>
        </w:rPr>
        <w:t xml:space="preserve"> (البناء 17.0.5015.4).</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(mssql-tools18) وPython 3.</w:t>
      </w:r>
    </w:p>
    <w:p>
      <w:pPr>
        <w:bidi/>
        <w:spacing w:after="60" w:before="0"/>
      </w:pPr>
    </w:p>
    <w:p>
      <w:pPr>
        <w:pStyle w:val="Heading2"/>
        <w:bidi/>
      </w:pPr>
      <w:bookmarkStart w:name="_sec10" w:id="10"/>
      <w:r>
        <w:rPr>
          <w:rFonts w:ascii="Arial" w:cs="Arial" w:eastAsia="Arial" w:hAnsi="Arial"/>
          <w:b/>
          <w:bCs/>
          <w:color w:val="2B5C8A"/>
          <w:sz w:val="26"/>
          <w:szCs w:val="26"/>
          <w:rtl/>
        </w:rPr>
        <w:t xml:space="preserve">4.2 الأوامر</w:t>
      </w:r>
      <w:bookmarkEnd w:id="10"/>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docker run -d --name bankfas-sql -e ACCEPT_EULA=Y -e MSSQL_SA_PASSWORD='&lt;كلمة مرور قوية&gt;'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 1433:1433 mcr.microsoft.com/mssql/server:2025-CU9-GDR1-ubuntu-24.04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treasury-platform</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SA_PASSWORD='&lt;كلمة المرور نفسها&gt;' SQL_SERVER=localhost bash tools/ci/db_ci.sh</w:t>
      </w:r>
    </w:p>
    <w:p>
      <w:pPr>
        <w:pStyle w:val="ListParagraph"/>
        <w:numPr>
          <w:ilvl w:val="0"/>
          <w:numId w:val="3"/>
        </w:numPr>
        <w:bidi/>
        <w:spacing w:after="70" w:before="0" w:line="300"/>
      </w:pPr>
      <w:r>
        <w:rPr>
          <w:rFonts w:ascii="Arial" w:cs="Arial" w:eastAsia="Arial" w:hAnsi="Arial"/>
          <w:b w:val="false"/>
          <w:bCs w:val="false"/>
          <w:sz w:val="21"/>
          <w:szCs w:val="21"/>
          <w:rtl/>
        </w:rPr>
        <w:t xml:space="preserve">السكربت يبني قاعدة جديدة في كل تشغيل، ويستغرق نحو خمس دقائق.</w:t>
      </w:r>
    </w:p>
    <w:p>
      <w:pPr>
        <w:pStyle w:val="ListParagraph"/>
        <w:numPr>
          <w:ilvl w:val="0"/>
          <w:numId w:val="3"/>
        </w:numPr>
        <w:bidi/>
        <w:spacing w:after="70" w:before="0" w:line="300"/>
      </w:pPr>
      <w:r>
        <w:rPr>
          <w:rFonts w:ascii="Arial" w:cs="Arial" w:eastAsia="Arial" w:hAnsi="Arial"/>
          <w:b w:val="false"/>
          <w:bCs w:val="false"/>
          <w:sz w:val="21"/>
          <w:szCs w:val="21"/>
          <w:rtl/>
        </w:rPr>
        <w:t xml:space="preserve">يعيّن لنفسه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وسماحَي CI (</w:t>
      </w:r>
      <w:r>
        <w:rPr>
          <w:rFonts w:ascii="Courier New" w:cs="Courier New" w:eastAsia="Courier New" w:hAnsi="Courier New"/>
          <w:b w:val="false"/>
          <w:bCs w:val="false"/>
          <w:color w:val="1F2937"/>
          <w:sz w:val="18"/>
          <w:szCs w:val="18"/>
          <w:shd w:fill="F1F3F5" w:color="auto" w:val="clear"/>
          <w:rtl/>
        </w:rPr>
        <w:t xml:space="preserve">‎BANKFAS_ALLOW_TRUST_CERT‎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‎BANKFAS_ALLOW_SA‎</w:t>
      </w:r>
      <w:r>
        <w:rPr>
          <w:rFonts w:ascii="Arial" w:cs="Arial" w:eastAsia="Arial" w:hAnsi="Arial"/>
          <w:b w:val="false"/>
          <w:bCs w:val="false"/>
          <w:sz w:val="21"/>
          <w:szCs w:val="21"/>
          <w:rtl/>
        </w:rPr>
        <w:t xml:space="preserve">) لحاويته المؤقتة. ولا تُعيَّن هذه في الإنتاج (ADR 0014).</w:t>
      </w:r>
    </w:p>
    <w:p>
      <w:pPr>
        <w:pStyle w:val="ListParagraph"/>
        <w:numPr>
          <w:ilvl w:val="0"/>
          <w:numId w:val="3"/>
        </w:numPr>
        <w:bidi/>
        <w:spacing w:after="70" w:before="0" w:line="300"/>
      </w:pPr>
      <w:r>
        <w:rPr>
          <w:rFonts w:ascii="Arial" w:cs="Arial" w:eastAsia="Arial" w:hAnsi="Arial"/>
          <w:b w:val="false"/>
          <w:bCs w:val="false"/>
          <w:sz w:val="21"/>
          <w:szCs w:val="21"/>
          <w:rtl/>
        </w:rPr>
        <w:t xml:space="preserve">ويُشغَّل التدفق نفسه على GitHub عند كل دفع يمس قاعدة البيانات: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في جذر المستودع.</w:t>
      </w:r>
    </w:p>
    <w:p>
      <w:pPr>
        <w:bidi/>
        <w:spacing w:after="60" w:before="0"/>
      </w:pPr>
    </w:p>
    <w:p>
      <w:pPr>
        <w:pStyle w:val="Heading2"/>
        <w:bidi/>
      </w:pPr>
      <w:bookmarkStart w:name="_sec11" w:id="11"/>
      <w:r>
        <w:rPr>
          <w:rFonts w:ascii="Arial" w:cs="Arial" w:eastAsia="Arial" w:hAnsi="Arial"/>
          <w:b/>
          <w:bCs/>
          <w:color w:val="2B5C8A"/>
          <w:sz w:val="26"/>
          <w:szCs w:val="26"/>
          <w:rtl/>
        </w:rPr>
        <w:t xml:space="preserve">4.3 النتيجة المتوقعة: 22 خطوة تنتهي بـ «all database checks passed»</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6"/>
        <w:gridCol w:w="5341"/>
        <w:gridCol w:w="3067"/>
      </w:tblGrid>
      <w:tr>
        <w:trPr>
          <w:cantSplit/>
          <w:tblHeader/>
        </w:trPr>
        <w:tc>
          <w:tcPr>
            <w:tcW w:type="dxa" w:w="1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5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0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1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5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وتطابق الـDDL المولَّد معه</w:t>
            </w:r>
          </w:p>
        </w:tc>
        <w:tc>
          <w:tcPr>
            <w:tcW w:type="dxa" w:w="3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 جدولًا و3,370 عمودًا</w:t>
            </w:r>
          </w:p>
        </w:tc>
      </w:tr>
      <w:tr>
        <w:trPr>
          <w:cantSplit/>
        </w:trPr>
        <w:tc>
          <w:tcPr>
            <w:tcW w:type="dxa" w:w="1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5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وقواعد المنح R1–R11، والصورة مقابل السجل، و</w:t>
            </w:r>
            <w:r>
              <w:rPr>
                <w:rFonts w:ascii="Courier New" w:cs="Courier New" w:eastAsia="Courier New" w:hAnsi="Courier New"/>
                <w:b w:val="false"/>
                <w:bCs w:val="false"/>
                <w:color w:val="1F2937"/>
                <w:sz w:val="16"/>
                <w:szCs w:val="16"/>
                <w:shd w:fill="F1F3F5" w:color="auto" w:val="clear"/>
                <w:rtl/>
              </w:rPr>
              <w:t xml:space="preserve">‎check_review_fixes.py‎</w:t>
            </w:r>
          </w:p>
        </w:tc>
        <w:tc>
          <w:tcPr>
            <w:tcW w:type="dxa" w:w="3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من 75 إصلاحًا</w:t>
            </w:r>
          </w:p>
        </w:tc>
      </w:tr>
      <w:tr>
        <w:trPr>
          <w:cantSplit/>
        </w:trPr>
        <w:tc>
          <w:tcPr>
            <w:tcW w:type="dxa" w:w="1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4ب</w:t>
            </w:r>
          </w:p>
        </w:tc>
        <w:tc>
          <w:tcPr>
            <w:tcW w:type="dxa" w:w="5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كما في الإنتاج، والبذر القابل للتكرار</w:t>
            </w:r>
          </w:p>
        </w:tc>
        <w:tc>
          <w:tcPr>
            <w:tcW w:type="dxa" w:w="3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5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 بحساب المراقبة</w:t>
            </w:r>
          </w:p>
        </w:tc>
        <w:tc>
          <w:tcPr>
            <w:tcW w:type="dxa" w:w="3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 جدولًا، 773 مفتاحًا أجنبيًا، 564 قيد تفرّد، 1,253 قيد فحص، 737 فهرسًا، 184 سياسة RLS، 55 وحدة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1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5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حصص المقرضين</w:t>
            </w:r>
          </w:p>
        </w:tc>
        <w:tc>
          <w:tcPr>
            <w:tcW w:type="dxa" w:w="3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حالات</w:t>
            </w:r>
          </w:p>
        </w:tc>
      </w:tr>
      <w:tr>
        <w:trPr>
          <w:cantSplit/>
        </w:trPr>
        <w:tc>
          <w:tcPr>
            <w:tcW w:type="dxa" w:w="1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5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w:t>
            </w:r>
          </w:p>
        </w:tc>
        <w:tc>
          <w:tcPr>
            <w:tcW w:type="dxa" w:w="3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حالة</w:t>
            </w:r>
          </w:p>
        </w:tc>
      </w:tr>
      <w:tr>
        <w:trPr>
          <w:cantSplit/>
        </w:trPr>
        <w:tc>
          <w:tcPr>
            <w:tcW w:type="dxa" w:w="1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8–18</w:t>
            </w:r>
          </w:p>
        </w:tc>
        <w:tc>
          <w:tcPr>
            <w:tcW w:type="dxa" w:w="5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والأمن، والمشغّل والدعم، والمهام، والتهيئة، والترقيم (مع اتصالين متزامنين)، وKYC، والبيانات المرجعية، والتدقيق، والتصدير، وحسابات الخدمة</w:t>
            </w:r>
          </w:p>
        </w:tc>
        <w:tc>
          <w:tcPr>
            <w:tcW w:type="dxa" w:w="3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و11 و7 و5 و8 و2 و4 و4 و7 و6 و6</w:t>
            </w:r>
          </w:p>
        </w:tc>
      </w:tr>
      <w:tr>
        <w:trPr>
          <w:cantSplit/>
        </w:trPr>
        <w:tc>
          <w:tcPr>
            <w:tcW w:type="dxa" w:w="1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5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وشروط دخول الشرائح</w:t>
            </w:r>
          </w:p>
        </w:tc>
        <w:tc>
          <w:tcPr>
            <w:tcW w:type="dxa" w:w="3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حالة</w:t>
            </w:r>
          </w:p>
        </w:tc>
      </w:tr>
      <w:tr>
        <w:trPr>
          <w:cantSplit/>
        </w:trPr>
        <w:tc>
          <w:tcPr>
            <w:tcW w:type="dxa" w:w="1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20–22</w:t>
            </w:r>
          </w:p>
        </w:tc>
        <w:tc>
          <w:tcPr>
            <w:tcW w:type="dxa" w:w="5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الخادم، وحساب المراقبة، والفحص التمهيدي للنشر</w:t>
            </w:r>
          </w:p>
        </w:tc>
        <w:tc>
          <w:tcPr>
            <w:tcW w:type="dxa" w:w="3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و6 و5</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5. الأدلة</w:t>
      </w:r>
      <w:bookmarkEnd w:id="12"/>
    </w:p>
    <w:p>
      <w:pPr>
        <w:pStyle w:val="ListParagraph"/>
        <w:numPr>
          <w:ilvl w:val="0"/>
          <w:numId w:val="4"/>
        </w:numPr>
        <w:bidi/>
        <w:spacing w:after="70" w:before="0" w:line="300"/>
      </w:pPr>
      <w:r>
        <w:rPr>
          <w:rFonts w:ascii="Arial" w:cs="Arial" w:eastAsia="Arial" w:hAnsi="Arial"/>
          <w:b/>
          <w:bCs/>
          <w:sz w:val="21"/>
          <w:szCs w:val="21"/>
          <w:rtl/>
        </w:rPr>
        <w:t xml:space="preserve">CI على GitHub</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‎treasury-database-ci‎</w:t>
      </w:r>
      <w:r>
        <w:rPr>
          <w:rFonts w:ascii="Arial" w:cs="Arial" w:eastAsia="Arial" w:hAnsi="Arial"/>
          <w:b w:val="false"/>
          <w:bCs w:val="false"/>
          <w:sz w:val="21"/>
          <w:szCs w:val="21"/>
          <w:rtl/>
        </w:rPr>
        <w:t xml:space="preserve">). مرت التشغيلات 38 إلى 40 بنجاح على تعديلات شروط الدخول، وبدأ التشغيل 41 على تعديل S3 وS4. أما سير العمل العام «CI» في جذر المستودع فيخص المنتج الآخر فيه، ويفشل على هذا الفرع منذ قبل هذا العمل، ولا يمس قاعدة الخزينة.</w:t>
      </w:r>
    </w:p>
    <w:p>
      <w:pPr>
        <w:pStyle w:val="ListParagraph"/>
        <w:numPr>
          <w:ilvl w:val="0"/>
          <w:numId w:val="4"/>
        </w:numPr>
        <w:bidi/>
        <w:spacing w:after="70" w:before="0" w:line="300"/>
      </w:pPr>
      <w:r>
        <w:rPr>
          <w:rFonts w:ascii="Arial" w:cs="Arial" w:eastAsia="Arial" w:hAnsi="Arial"/>
          <w:b/>
          <w:bCs/>
          <w:sz w:val="21"/>
          <w:szCs w:val="21"/>
          <w:rtl/>
        </w:rPr>
        <w:t xml:space="preserve">اختبار بالتعطيل (mutation).</w:t>
      </w:r>
      <w:r>
        <w:rPr>
          <w:rFonts w:ascii="Arial" w:cs="Arial" w:eastAsia="Arial" w:hAnsi="Arial"/>
          <w:b w:val="false"/>
          <w:bCs w:val="false"/>
          <w:sz w:val="21"/>
          <w:szCs w:val="21"/>
          <w:rtl/>
        </w:rPr>
        <w:t xml:space="preserve"> كل حارس من حراس 043 و044 عُطّل وحده، فرسب اختباره. ومنها:</w:t>
      </w:r>
    </w:p>
    <w:p>
      <w:pPr>
        <w:pStyle w:val="ListParagraph"/>
        <w:numPr>
          <w:ilvl w:val="1"/>
          <w:numId w:val="3"/>
        </w:numPr>
        <w:bidi/>
        <w:spacing w:after="70" w:before="0" w:line="300"/>
      </w:pPr>
      <w:r>
        <w:rPr>
          <w:rFonts w:ascii="Arial" w:cs="Arial" w:eastAsia="Arial" w:hAnsi="Arial"/>
          <w:b w:val="false"/>
          <w:bCs w:val="false"/>
          <w:sz w:val="21"/>
          <w:szCs w:val="21"/>
          <w:rtl/>
        </w:rPr>
        <w:t xml:space="preserve">13 قادحًا لـ S3 وS4؛</w:t>
      </w:r>
    </w:p>
    <w:p>
      <w:pPr>
        <w:pStyle w:val="ListParagraph"/>
        <w:numPr>
          <w:ilvl w:val="1"/>
          <w:numId w:val="3"/>
        </w:numPr>
        <w:bidi/>
        <w:spacing w:after="70" w:before="0" w:line="300"/>
      </w:pPr>
      <w:r>
        <w:rPr>
          <w:rFonts w:ascii="Arial" w:cs="Arial" w:eastAsia="Arial" w:hAnsi="Arial"/>
          <w:b w:val="false"/>
          <w:bCs w:val="false"/>
          <w:sz w:val="21"/>
          <w:szCs w:val="21"/>
          <w:rtl/>
        </w:rPr>
        <w:t xml:space="preserve">منع الأعمدة على نسخ الطلب: أُبدل بمنحٍ فرسب RF32.</w:t>
      </w:r>
    </w:p>
    <w:p>
      <w:pPr>
        <w:bidi/>
        <w:spacing w:after="70" w:before="0" w:line="300"/>
        <w:ind w:left="574"/>
      </w:pPr>
      <w:r>
        <w:rPr>
          <w:rFonts w:ascii="Arial" w:cs="Arial" w:eastAsia="Arial" w:hAnsi="Arial"/>
          <w:b w:val="false"/>
          <w:bCs w:val="false"/>
          <w:sz w:val="21"/>
          <w:szCs w:val="21"/>
          <w:rtl/>
        </w:rPr>
        <w:t xml:space="preserve">والتفاصيل في رسائل الإيداع وفي ADR 0011.</w:t>
      </w:r>
    </w:p>
    <w:p>
      <w:pPr>
        <w:pStyle w:val="ListParagraph"/>
        <w:numPr>
          <w:ilvl w:val="0"/>
          <w:numId w:val="4"/>
        </w:numPr>
        <w:bidi/>
        <w:spacing w:after="70" w:before="0" w:line="300"/>
      </w:pPr>
      <w:r>
        <w:rPr>
          <w:rFonts w:ascii="Arial" w:cs="Arial" w:eastAsia="Arial" w:hAnsi="Arial"/>
          <w:b/>
          <w:bCs/>
          <w:sz w:val="21"/>
          <w:szCs w:val="21"/>
          <w:rtl/>
        </w:rPr>
        <w:t xml:space="preserve">الاختبارات نفسها.</w:t>
      </w:r>
      <w:r>
        <w:rPr>
          <w:rFonts w:ascii="Arial" w:cs="Arial" w:eastAsia="Arial" w:hAnsi="Arial"/>
          <w:b w:val="false"/>
          <w:bCs w:val="false"/>
          <w:sz w:val="21"/>
          <w:szCs w:val="21"/>
          <w:rtl/>
        </w:rPr>
        <w:t xml:space="preserve"> كل حالة تطبع سطرًا يبدأ بـ PASS أو FAIL، ومعه رقم الخطأ لكل حالة فرعية.</w:t>
      </w:r>
    </w:p>
    <w:p>
      <w:pPr>
        <w:pStyle w:val="ListParagraph"/>
        <w:numPr>
          <w:ilvl w:val="0"/>
          <w:numId w:val="4"/>
        </w:numPr>
        <w:bidi/>
        <w:spacing w:after="70" w:before="0" w:line="300"/>
      </w:pPr>
      <w:r>
        <w:rPr>
          <w:rFonts w:ascii="Arial" w:cs="Arial" w:eastAsia="Arial" w:hAnsi="Arial"/>
          <w:b/>
          <w:bCs/>
          <w:sz w:val="21"/>
          <w:szCs w:val="21"/>
          <w:rtl/>
        </w:rPr>
        <w:t xml:space="preserve">فحوص على الملفات قبل النشر:</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قواعد المنح والحذف المتتالي؛</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فهرسة المفاتيح الأجنبية؛</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75 إصلاحًا على الـDDL والحراس.</w:t>
      </w:r>
    </w:p>
    <w:p>
      <w:pPr>
        <w:pStyle w:val="ListParagraph"/>
        <w:numPr>
          <w:ilvl w:val="0"/>
          <w:numId w:val="4"/>
        </w:numPr>
        <w:bidi/>
        <w:spacing w:after="70" w:before="0" w:line="300"/>
      </w:pPr>
      <w:r>
        <w:rPr>
          <w:rFonts w:ascii="Arial" w:cs="Arial" w:eastAsia="Arial" w:hAnsi="Arial"/>
          <w:b/>
          <w:bCs/>
          <w:sz w:val="21"/>
          <w:szCs w:val="21"/>
          <w:rtl/>
        </w:rPr>
        <w:t xml:space="preserve">ما لا تثبته الأدلة.</w:t>
      </w:r>
      <w:r>
        <w:rPr>
          <w:rFonts w:ascii="Arial" w:cs="Arial" w:eastAsia="Arial" w:hAnsi="Arial"/>
          <w:b w:val="false"/>
          <w:bCs w:val="false"/>
          <w:sz w:val="21"/>
          <w:szCs w:val="21"/>
          <w:rtl/>
        </w:rPr>
        <w:t xml:space="preserve"> نسخة PostgreSQL تثبت البنية المنطقية فقط. ولم يجرِ اختبار حمل ولا قياس أداء.</w:t>
      </w:r>
    </w:p>
    <w:p>
      <w:pPr>
        <w:bidi/>
        <w:spacing w:after="60" w:before="0"/>
      </w:pPr>
    </w:p>
    <w:p>
      <w:pPr>
        <w:pStyle w:val="Heading1"/>
        <w:bidi/>
      </w:pPr>
      <w:bookmarkStart w:name="_sec13" w:id="13"/>
      <w:r>
        <w:rPr>
          <w:rFonts w:ascii="Arial" w:cs="Arial" w:eastAsia="Arial" w:hAnsi="Arial"/>
          <w:b/>
          <w:bCs/>
          <w:color w:val="1F3A5F"/>
          <w:sz w:val="32"/>
          <w:szCs w:val="32"/>
          <w:rtl/>
        </w:rPr>
        <w:t xml:space="preserve">6. أنماط تصميم يحسن أن يعرفها المراجع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4306"/>
        <w:gridCol w:w="4124"/>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43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الفكرة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43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‎010_rls.sql‎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‎030_session_context.sql‎</w:t>
            </w:r>
            <w:r>
              <w:rPr>
                <w:rFonts w:ascii="Arial" w:cs="Arial" w:eastAsia="Arial" w:hAnsi="Arial"/>
                <w:b w:val="false"/>
                <w:bCs w:val="false"/>
                <w:sz w:val="18"/>
                <w:szCs w:val="18"/>
                <w:rtl/>
              </w:rPr>
              <w:t xml:space="preserve">، ADR 0002</w:t>
            </w:r>
          </w:p>
        </w:tc>
        <w:tc>
          <w:tcPr>
            <w:tcW w:type="dxa" w:w="4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في كل جدول مشترك، ومرشحات صفوف تشترط ربط الجلسة في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برمز يصدره إجراء الدخول وحده</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w:t>
            </w:r>
            <w:r>
              <w:rPr>
                <w:rFonts w:ascii="Courier New" w:cs="Courier New" w:eastAsia="Courier New" w:hAnsi="Courier New"/>
                <w:b w:val="false"/>
                <w:bCs w:val="false"/>
                <w:color w:val="1F2937"/>
                <w:sz w:val="16"/>
                <w:szCs w:val="16"/>
                <w:shd w:fill="F1F3F5" w:color="auto" w:val="clear"/>
                <w:rtl/>
              </w:rPr>
              <w:t xml:space="preserve">‎via‎</w:t>
            </w:r>
            <w:r>
              <w:rPr>
                <w:rFonts w:ascii="Arial" w:cs="Arial" w:eastAsia="Arial" w:hAnsi="Arial"/>
                <w:b w:val="false"/>
                <w:bCs w:val="false"/>
                <w:sz w:val="18"/>
                <w:szCs w:val="18"/>
                <w:rtl/>
              </w:rPr>
              <w:t xml:space="preserve">)</w:t>
            </w:r>
          </w:p>
        </w:tc>
        <w:tc>
          <w:tcPr>
            <w:tcW w:type="dxa" w:w="43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c>
          <w:tcPr>
            <w:tcW w:type="dxa" w:w="4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الابن يحمل نسخة من عمود الأب، والمفتاح الأجنبي يشمله، فلا يربط بأب من نطاق آخر (المشترك، التسهيل، العملة، الغرض)</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المراجَع </w:t>
            </w:r>
            <w:r>
              <w:rPr>
                <w:rFonts w:ascii="Courier New" w:cs="Courier New" w:eastAsia="Courier New" w:hAnsi="Courier New"/>
                <w:b w:val="false"/>
                <w:bCs w:val="false"/>
                <w:color w:val="1F2937"/>
                <w:sz w:val="16"/>
                <w:szCs w:val="16"/>
                <w:shd w:fill="F1F3F5" w:color="auto" w:val="clear"/>
                <w:rtl/>
              </w:rPr>
              <w:t xml:space="preserve">‎rev‎</w:t>
            </w:r>
          </w:p>
        </w:tc>
        <w:tc>
          <w:tcPr>
            <w:tcW w:type="dxa" w:w="43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التسهيل، ADR 0011</w:t>
            </w:r>
          </w:p>
        </w:tc>
        <w:tc>
          <w:tcPr>
            <w:tcW w:type="dxa" w:w="4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‎FromRevision/ToRevision‎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وصف مفتوح واحد لكل جذر؛ والاعتماد يفحص سلامة المراجعة كلها</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على مراحل</w:t>
            </w:r>
          </w:p>
        </w:tc>
        <w:tc>
          <w:tcPr>
            <w:tcW w:type="dxa" w:w="43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041، 044</w:t>
            </w:r>
          </w:p>
        </w:tc>
        <w:tc>
          <w:tcPr>
            <w:tcW w:type="dxa" w:w="4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تُكتب مسودة، ثم أجزاؤها، ثم تُقفل أو تُنشر؛ والمقفل لا يتغير إلا بما يسمّيه القادح</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التجميد من الكتالوج</w:t>
            </w:r>
          </w:p>
        </w:tc>
        <w:tc>
          <w:tcPr>
            <w:tcW w:type="dxa" w:w="43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4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الأعمدة المجمّدة تُبنى عند النشر من </w:t>
            </w:r>
            <w:r>
              <w:rPr>
                <w:rFonts w:ascii="Courier New" w:cs="Courier New" w:eastAsia="Courier New" w:hAnsi="Courier New"/>
                <w:b w:val="false"/>
                <w:bCs w:val="false"/>
                <w:color w:val="1F2937"/>
                <w:sz w:val="16"/>
                <w:szCs w:val="16"/>
                <w:shd w:fill="F1F3F5" w:color="auto" w:val="clear"/>
                <w:rtl/>
              </w:rPr>
              <w:t xml:space="preserve">‎sys.columns‎</w:t>
            </w:r>
            <w:r>
              <w:rPr>
                <w:rFonts w:ascii="Arial" w:cs="Arial" w:eastAsia="Arial" w:hAnsi="Arial"/>
                <w:b w:val="false"/>
                <w:bCs w:val="false"/>
                <w:sz w:val="18"/>
                <w:szCs w:val="18"/>
                <w:rtl/>
              </w:rPr>
              <w:t xml:space="preserve">، فالعمود الجديد مجمّد ما لم يُسمَّ</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تكتبها القاعدة وحدها</w:t>
            </w:r>
          </w:p>
        </w:tc>
        <w:tc>
          <w:tcPr>
            <w:tcW w:type="dxa" w:w="43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‎wfl.Request‎</w:t>
            </w:r>
          </w:p>
        </w:tc>
        <w:tc>
          <w:tcPr>
            <w:tcW w:type="dxa" w:w="4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المرحلة والحجز تبقى للفهارس، وتكتبها قوادح من مصدرها، ويُمنع منها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وعرض يسرد أي اختلاف</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مرقّمة</w:t>
            </w:r>
          </w:p>
        </w:tc>
        <w:tc>
          <w:tcPr>
            <w:tcW w:type="dxa" w:w="43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فما فوق</w:t>
            </w:r>
          </w:p>
        </w:tc>
        <w:tc>
          <w:tcPr>
            <w:tcW w:type="dxa" w:w="4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قادح يرفع رقمًا ثابتًا، والتطبيق يتحقق قبله؛ وخطأ القادح ينهي المعاملة</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7. الحدود المعروفة والمؤجل</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1979"/>
        <w:gridCol w:w="3566"/>
        <w:gridCol w:w="3365"/>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كود التطبيق غير مكتوب</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كثيرة في المواصفات يفرضها التطبيق. والقاعدة تفرض البنية والحالات والسلامة المرجعية والعزل</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المواصفات 10–14</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منفّذ ترحيل</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فارغة فقط، ويرفض الفحص التمهيدي غيرها (50142)</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 ADR 0014</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مرساة خارجية لبصمة الشروط وسلسلة التدقيق</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في الصف نفسه، فمن يملك الكتابة يعيد حسابها</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DR-41</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لا صف يشير إلى مفتاح تشفير متقاعد</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ينتظر مهمة تدوير المفاتيح</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w:t>
            </w:r>
            <w:r>
              <w:rPr>
                <w:rFonts w:ascii="Courier New" w:cs="Courier New" w:eastAsia="Courier New" w:hAnsi="Courier New"/>
                <w:b w:val="false"/>
                <w:bCs w:val="false"/>
                <w:color w:val="1F2937"/>
                <w:sz w:val="16"/>
                <w:szCs w:val="16"/>
                <w:shd w:fill="F1F3F5" w:color="auto" w:val="clear"/>
                <w:rtl/>
              </w:rPr>
              <w:t xml:space="preserve">‎-f 65001‎</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حين تحمل البذور نصًا عربيًا</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Windows </w:t>
            </w:r>
            <w:r>
              <w:rPr>
                <w:rFonts w:ascii="Courier New" w:cs="Courier New" w:eastAsia="Courier New" w:hAnsi="Courier New"/>
                <w:b w:val="false"/>
                <w:bCs w:val="false"/>
                <w:color w:val="1F2937"/>
                <w:sz w:val="16"/>
                <w:szCs w:val="16"/>
                <w:shd w:fill="F1F3F5" w:color="auto" w:val="clear"/>
                <w:rtl/>
              </w:rPr>
              <w:t xml:space="preserve">‎deploy.ps1‎</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يُشغَّل قط</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الاستعادة وأزمنتها (RPO/RTO) والاحتفاظ والأرشفة</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O-6</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الحجب في النص الحر (DR-31)</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عشرة أرقام متتالية. فمبلغ يُكتب بلا فواصل من مليار فأكثر، أو رقم مرجعي طويل، يُرفض أيضًا. والتطبيق يكتب المبالغ بفواصل</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0011</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يلتزمها التطبيق</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كتابة النسخ؛ وسطور البروفورما بعبارة واحدة؛ وشكل لقطة التقييم الآلي؛ و</w:t>
            </w:r>
            <w:r>
              <w:rPr>
                <w:rFonts w:ascii="Courier New" w:cs="Courier New" w:eastAsia="Courier New" w:hAnsi="Courier New"/>
                <w:b w:val="false"/>
                <w:bCs w:val="false"/>
                <w:color w:val="1F2937"/>
                <w:sz w:val="16"/>
                <w:szCs w:val="16"/>
                <w:shd w:fill="F1F3F5" w:color="auto" w:val="clear"/>
                <w:rtl/>
              </w:rPr>
              <w:t xml:space="preserve">‎ChangedFieldsJson‎</w:t>
            </w:r>
            <w:r>
              <w:rPr>
                <w:rFonts w:ascii="Arial" w:cs="Arial" w:eastAsia="Arial" w:hAnsi="Arial"/>
                <w:b w:val="false"/>
                <w:bCs w:val="false"/>
                <w:sz w:val="18"/>
                <w:szCs w:val="18"/>
                <w:rtl/>
              </w:rPr>
              <w:t xml:space="preserve"> كائن بمفاتيح الحقول</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ADR 0011</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القديم في حاوية التطوير</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يطبع أحيانًا جزءًا من مدخله قبل سطر النتيجة. لذلك يقرأ CI نتائج الخطوة 19 من أي موضع في السطر</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‎tools/ci/db_ci.sh‎</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الذاتي للقوادح</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نسخ الطلب تفترض </w:t>
            </w:r>
            <w:r>
              <w:rPr>
                <w:rFonts w:ascii="Courier New" w:cs="Courier New" w:eastAsia="Courier New" w:hAnsi="Courier New"/>
                <w:b w:val="false"/>
                <w:bCs w:val="false"/>
                <w:color w:val="1F2937"/>
                <w:sz w:val="16"/>
                <w:szCs w:val="16"/>
                <w:shd w:fill="F1F3F5" w:color="auto" w:val="clear"/>
                <w:rtl/>
              </w:rPr>
              <w:t xml:space="preserve">‎RECURSIVE_TRIGGERS OFF‎</w:t>
            </w:r>
            <w:r>
              <w:rPr>
                <w:rFonts w:ascii="Arial" w:cs="Arial" w:eastAsia="Arial" w:hAnsi="Arial"/>
                <w:b w:val="false"/>
                <w:bCs w:val="false"/>
                <w:sz w:val="18"/>
                <w:szCs w:val="18"/>
                <w:rtl/>
              </w:rPr>
              <w:t xml:space="preserve">، وهو الافتراضي. وهي لا تكتب إلا عند وجود فرق، فتنتهي حتى لو تكرّرت</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044</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8. أسئلة نطلب رأي المراجع فيها</w:t>
      </w:r>
      <w:bookmarkEnd w:id="15"/>
    </w:p>
    <w:p>
      <w:pPr>
        <w:pStyle w:val="ListParagraph"/>
        <w:numPr>
          <w:ilvl w:val="0"/>
          <w:numId w:val="5"/>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هل يمنع ربط الجلسة مع مرشحات الصفوف كل طريق إلى بيانات مشترك آخر، بما فيها الإجراءات والعروض والقوادح والمهام؟ (ADR 0002 و0004، والاختبارات T1 إلى T46 وفروعها، 48 حالة).</w:t>
      </w:r>
    </w:p>
    <w:p>
      <w:pPr>
        <w:pStyle w:val="ListParagraph"/>
        <w:numPr>
          <w:ilvl w:val="0"/>
          <w:numId w:val="5"/>
        </w:numPr>
        <w:bidi/>
        <w:spacing w:after="70" w:before="0" w:line="300"/>
      </w:pPr>
      <w:r>
        <w:rPr>
          <w:rFonts w:ascii="Arial" w:cs="Arial" w:eastAsia="Arial" w:hAnsi="Arial"/>
          <w:b/>
          <w:bCs/>
          <w:sz w:val="21"/>
          <w:szCs w:val="21"/>
          <w:rtl/>
        </w:rPr>
        <w:t xml:space="preserve">حدود القاعدة والتطبيق.</w:t>
      </w:r>
      <w:r>
        <w:rPr>
          <w:rFonts w:ascii="Arial" w:cs="Arial" w:eastAsia="Arial" w:hAnsi="Arial"/>
          <w:b w:val="false"/>
          <w:bCs w:val="false"/>
          <w:sz w:val="21"/>
          <w:szCs w:val="21"/>
          <w:rtl/>
        </w:rPr>
        <w:t xml:space="preserve"> هل التقسيم بين القيود والقوادح في القاعدة، والتحقق في التطبيق، معقول؟ وهل في الحراس ما يحسن نقله إلى التطبيق، أو العكس؟</w:t>
      </w:r>
    </w:p>
    <w:p>
      <w:pPr>
        <w:pStyle w:val="ListParagraph"/>
        <w:numPr>
          <w:ilvl w:val="0"/>
          <w:numId w:val="5"/>
        </w:numPr>
        <w:bidi/>
        <w:spacing w:after="70" w:before="0" w:line="300"/>
      </w:pPr>
      <w:r>
        <w:rPr>
          <w:rFonts w:ascii="Arial" w:cs="Arial" w:eastAsia="Arial" w:hAnsi="Arial"/>
          <w:b/>
          <w:bCs/>
          <w:sz w:val="21"/>
          <w:szCs w:val="21"/>
          <w:rtl/>
        </w:rPr>
        <w:t xml:space="preserve">سلامة المراجعات (DR-28).</w:t>
      </w:r>
      <w:r>
        <w:rPr>
          <w:rFonts w:ascii="Arial" w:cs="Arial" w:eastAsia="Arial" w:hAnsi="Arial"/>
          <w:b w:val="false"/>
          <w:bCs w:val="false"/>
          <w:sz w:val="21"/>
          <w:szCs w:val="21"/>
          <w:rtl/>
        </w:rPr>
        <w:t xml:space="preserve"> هل يكفي </w:t>
      </w:r>
      <w:r>
        <w:rPr>
          <w:rFonts w:ascii="Courier New" w:cs="Courier New" w:eastAsia="Courier New" w:hAnsi="Courier New"/>
          <w:b w:val="false"/>
          <w:bCs w:val="false"/>
          <w:color w:val="1F2937"/>
          <w:sz w:val="18"/>
          <w:szCs w:val="18"/>
          <w:shd w:fill="F1F3F5" w:color="auto" w:val="clear"/>
          <w:rtl/>
        </w:rPr>
        <w:t xml:space="preserve">‎RootId‎</w:t>
      </w:r>
      <w:r>
        <w:rPr>
          <w:rFonts w:ascii="Arial" w:cs="Arial" w:eastAsia="Arial" w:hAnsi="Arial"/>
          <w:b w:val="false"/>
          <w:bCs w:val="false"/>
          <w:sz w:val="21"/>
          <w:szCs w:val="21"/>
          <w:rtl/>
        </w:rPr>
        <w:t xml:space="preserve"> مع فحص الاعتماد؟ وما كلفة القادح الذي يمر على 12 جدولًا عند كل اعتماد؟</w:t>
      </w:r>
    </w:p>
    <w:p>
      <w:pPr>
        <w:pStyle w:val="ListParagraph"/>
        <w:numPr>
          <w:ilvl w:val="0"/>
          <w:numId w:val="5"/>
        </w:numPr>
        <w:bidi/>
        <w:spacing w:after="70" w:before="0" w:line="300"/>
      </w:pPr>
      <w:r>
        <w:rPr>
          <w:rFonts w:ascii="Arial" w:cs="Arial" w:eastAsia="Arial" w:hAnsi="Arial"/>
          <w:b/>
          <w:bCs/>
          <w:sz w:val="21"/>
          <w:szCs w:val="21"/>
          <w:rtl/>
        </w:rPr>
        <w:t xml:space="preserve">نسخ الطلب (DR-44).</w:t>
      </w:r>
      <w:r>
        <w:rPr>
          <w:rFonts w:ascii="Arial" w:cs="Arial" w:eastAsia="Arial" w:hAnsi="Arial"/>
          <w:b w:val="false"/>
          <w:bCs w:val="false"/>
          <w:sz w:val="21"/>
          <w:szCs w:val="21"/>
          <w:rtl/>
        </w:rPr>
        <w:t xml:space="preserve"> هل تصمد القوادح أمام كتابتين متزامنتين على المثيل والطلب؟ وهل يُخشى فيها تبادل قفل (deadlock)؟ وهل تعيين LOST للفك المنتهي أو اليدوي صحيح (BR-WFL-017)؟</w:t>
      </w:r>
    </w:p>
    <w:p>
      <w:pPr>
        <w:pStyle w:val="ListParagraph"/>
        <w:numPr>
          <w:ilvl w:val="0"/>
          <w:numId w:val="5"/>
        </w:numPr>
        <w:bidi/>
        <w:spacing w:after="70" w:before="0" w:line="300"/>
      </w:pPr>
      <w:r>
        <w:rPr>
          <w:rFonts w:ascii="Arial" w:cs="Arial" w:eastAsia="Arial" w:hAnsi="Arial"/>
          <w:b/>
          <w:bCs/>
          <w:sz w:val="21"/>
          <w:szCs w:val="21"/>
          <w:rtl/>
        </w:rPr>
        <w:t xml:space="preserve">قوادح التجميد المبنية من الكتالوج (DR-41).</w:t>
      </w:r>
      <w:r>
        <w:rPr>
          <w:rFonts w:ascii="Arial" w:cs="Arial" w:eastAsia="Arial" w:hAnsi="Arial"/>
          <w:b w:val="false"/>
          <w:bCs w:val="false"/>
          <w:sz w:val="21"/>
          <w:szCs w:val="21"/>
          <w:rtl/>
        </w:rPr>
        <w:t xml:space="preserve"> هل قائمة ما يتغير بعد القفل صحيحة: حقول الخزينة حتى </w:t>
      </w:r>
      <w:r>
        <w:rPr>
          <w:rFonts w:ascii="Courier New" w:cs="Courier New" w:eastAsia="Courier New" w:hAnsi="Courier New"/>
          <w:b w:val="false"/>
          <w:bCs w:val="false"/>
          <w:color w:val="1F2937"/>
          <w:sz w:val="18"/>
          <w:szCs w:val="18"/>
          <w:shd w:fill="F1F3F5" w:color="auto" w:val="clear"/>
          <w:rtl/>
        </w:rPr>
        <w:t xml:space="preserve">‎TreasuryHash‎</w:t>
      </w:r>
      <w:r>
        <w:rPr>
          <w:rFonts w:ascii="Arial" w:cs="Arial" w:eastAsia="Arial" w:hAnsi="Arial"/>
          <w:b w:val="false"/>
          <w:bCs w:val="false"/>
          <w:sz w:val="21"/>
          <w:szCs w:val="21"/>
          <w:rtl/>
        </w:rPr>
        <w:t xml:space="preserve">، والمالك الفارغ مرة واحدة، والتقاعد للقالب؟</w:t>
      </w:r>
    </w:p>
    <w:p>
      <w:pPr>
        <w:pStyle w:val="ListParagraph"/>
        <w:numPr>
          <w:ilvl w:val="0"/>
          <w:numId w:val="5"/>
        </w:numPr>
        <w:bidi/>
        <w:spacing w:after="70" w:before="0" w:line="300"/>
      </w:pPr>
      <w:r>
        <w:rPr>
          <w:rFonts w:ascii="Arial" w:cs="Arial" w:eastAsia="Arial" w:hAnsi="Arial"/>
          <w:b/>
          <w:bCs/>
          <w:sz w:val="21"/>
          <w:szCs w:val="21"/>
          <w:rtl/>
        </w:rPr>
        <w:t xml:space="preserve">لقطة تقييم التعهد (DR-39).</w:t>
      </w:r>
      <w:r>
        <w:rPr>
          <w:rFonts w:ascii="Arial" w:cs="Arial" w:eastAsia="Arial" w:hAnsi="Arial"/>
          <w:b w:val="false"/>
          <w:bCs w:val="false"/>
          <w:sz w:val="21"/>
          <w:szCs w:val="21"/>
          <w:rtl/>
        </w:rPr>
        <w:t xml:space="preserve"> هل المفاتيح التي تشترطها القاعدة كافية لإعادة إنتاج الحكم، أم ثقيلة على خدمة التقييم؟</w:t>
      </w:r>
    </w:p>
    <w:p>
      <w:pPr>
        <w:pStyle w:val="ListParagraph"/>
        <w:numPr>
          <w:ilvl w:val="0"/>
          <w:numId w:val="5"/>
        </w:numPr>
        <w:bidi/>
        <w:spacing w:after="70" w:before="0" w:line="300"/>
      </w:pPr>
      <w:r>
        <w:rPr>
          <w:rFonts w:ascii="Arial" w:cs="Arial" w:eastAsia="Arial" w:hAnsi="Arial"/>
          <w:b/>
          <w:bCs/>
          <w:sz w:val="21"/>
          <w:szCs w:val="21"/>
          <w:rtl/>
        </w:rPr>
        <w:t xml:space="preserve">الحساسية (DR-31، DR-46).</w:t>
      </w:r>
      <w:r>
        <w:rPr>
          <w:rFonts w:ascii="Arial" w:cs="Arial" w:eastAsia="Arial" w:hAnsi="Arial"/>
          <w:b w:val="false"/>
          <w:bCs w:val="false"/>
          <w:sz w:val="21"/>
          <w:szCs w:val="21"/>
          <w:rtl/>
        </w:rPr>
        <w:t xml:space="preserve"> هل يكفي نمط الحجب؟ وهل منع نسخ الحقل المقيّد مع الحكم من البصمة بالمفتاح نفسه صحيح أمنيًا؟</w:t>
      </w:r>
    </w:p>
    <w:p>
      <w:pPr>
        <w:pStyle w:val="ListParagraph"/>
        <w:numPr>
          <w:ilvl w:val="0"/>
          <w:numId w:val="5"/>
        </w:numPr>
        <w:bidi/>
        <w:spacing w:after="70" w:before="0" w:line="300"/>
      </w:pPr>
      <w:r>
        <w:rPr>
          <w:rFonts w:ascii="Arial" w:cs="Arial" w:eastAsia="Arial" w:hAnsi="Arial"/>
          <w:b/>
          <w:bCs/>
          <w:sz w:val="21"/>
          <w:szCs w:val="21"/>
          <w:rtl/>
        </w:rPr>
        <w:t xml:space="preserve">النشر والتشغيل (ADR 0009–0014).</w:t>
      </w:r>
      <w:r>
        <w:rPr>
          <w:rFonts w:ascii="Arial" w:cs="Arial" w:eastAsia="Arial" w:hAnsi="Arial"/>
          <w:b w:val="false"/>
          <w:bCs w:val="false"/>
          <w:sz w:val="21"/>
          <w:szCs w:val="21"/>
          <w:rtl/>
        </w:rPr>
        <w:t xml:space="preserve"> هل تكفي الحسابات والأسرار والسماحات والتدقيق والبوابة G4 لبيئة مصرفية؟</w:t>
      </w:r>
    </w:p>
    <w:p>
      <w:pPr>
        <w:pStyle w:val="ListParagraph"/>
        <w:numPr>
          <w:ilvl w:val="0"/>
          <w:numId w:val="5"/>
        </w:numPr>
        <w:bidi/>
        <w:spacing w:after="70" w:before="0" w:line="300"/>
      </w:pPr>
      <w:r>
        <w:rPr>
          <w:rFonts w:ascii="Arial" w:cs="Arial" w:eastAsia="Arial" w:hAnsi="Arial"/>
          <w:b/>
          <w:bCs/>
          <w:sz w:val="21"/>
          <w:szCs w:val="21"/>
          <w:rtl/>
        </w:rPr>
        <w:t xml:space="preserve">المستندات.</w:t>
      </w:r>
      <w:r>
        <w:rPr>
          <w:rFonts w:ascii="Arial" w:cs="Arial" w:eastAsia="Arial" w:hAnsi="Arial"/>
          <w:b w:val="false"/>
          <w:bCs w:val="false"/>
          <w:sz w:val="21"/>
          <w:szCs w:val="21"/>
          <w:rtl/>
        </w:rPr>
        <w:t xml:space="preserve"> هل في مستندات الجاهزية الـ43 تعارض مع المواصفات أو مع النموذج؟</w:t>
      </w:r>
    </w:p>
    <w:p>
      <w:pPr>
        <w:bidi/>
        <w:spacing w:after="60" w:before="0"/>
      </w:pPr>
    </w:p>
    <w:p>
      <w:pPr>
        <w:pStyle w:val="Heading1"/>
        <w:bidi/>
      </w:pPr>
      <w:bookmarkStart w:name="_sec16" w:id="16"/>
      <w:r>
        <w:rPr>
          <w:rFonts w:ascii="Arial" w:cs="Arial" w:eastAsia="Arial" w:hAnsi="Arial"/>
          <w:b/>
          <w:bCs/>
          <w:color w:val="1F3A5F"/>
          <w:sz w:val="32"/>
          <w:szCs w:val="32"/>
          <w:rtl/>
        </w:rPr>
        <w:t xml:space="preserve">9. طريقة إرسال النتائج</w:t>
      </w:r>
      <w:bookmarkEnd w:id="16"/>
    </w:p>
    <w:p>
      <w:pPr>
        <w:bidi/>
        <w:spacing w:after="110" w:before="0" w:line="312"/>
      </w:pPr>
      <w:r>
        <w:rPr>
          <w:rFonts w:ascii="Arial" w:cs="Arial" w:eastAsia="Arial" w:hAnsi="Arial"/>
          <w:b w:val="false"/>
          <w:bCs w:val="false"/>
          <w:sz w:val="21"/>
          <w:szCs w:val="21"/>
          <w:rtl/>
        </w:rPr>
        <w:t xml:space="preserve">نرجو النتائج بالصيغة المستعملة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لكل نتيجة: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‎table‎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‎column‎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(critical أو major أو minor)؛</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‎issue‎</w:t>
      </w:r>
      <w:r>
        <w:rPr>
          <w:rFonts w:ascii="Arial" w:cs="Arial" w:eastAsia="Arial" w:hAnsi="Arial"/>
          <w:b w:val="false"/>
          <w:bCs w:val="false"/>
          <w:sz w:val="21"/>
          <w:szCs w:val="21"/>
          <w:rtl/>
        </w:rPr>
        <w:t xml:space="preserve"> مع إشارة إلى السطر في النموذج أو الـDDL أو السكربت؛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‎failure_scenario‎</w:t>
      </w:r>
      <w:r>
        <w:rPr>
          <w:rFonts w:ascii="Arial" w:cs="Arial" w:eastAsia="Arial" w:hAnsi="Arial"/>
          <w:b w:val="false"/>
          <w:bCs w:val="false"/>
          <w:sz w:val="21"/>
          <w:szCs w:val="21"/>
          <w:rtl/>
        </w:rPr>
        <w:t xml:space="preserve"> يبدأ من مستدعٍ أو مدخل حقيقي؛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‎recommendation‎</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ثم تُدرج النتائج في سجل قرارات كما في </w:t>
      </w:r>
      <w:r>
        <w:rPr>
          <w:rFonts w:ascii="Courier New" w:cs="Courier New" w:eastAsia="Courier New" w:hAnsi="Courier New"/>
          <w:b w:val="false"/>
          <w:bCs w:val="false"/>
          <w:color w:val="1F2937"/>
          <w:sz w:val="18"/>
          <w:szCs w:val="18"/>
          <w:shd w:fill="F1F3F5" w:color="auto" w:val="clear"/>
          <w:rtl/>
        </w:rPr>
        <w:t xml:space="preserve">‎docs/32-review-findings-decisions.md‎</w:t>
      </w:r>
      <w:r>
        <w:rPr>
          <w:rFonts w:ascii="Arial" w:cs="Arial" w:eastAsia="Arial" w:hAnsi="Arial"/>
          <w:b w:val="false"/>
          <w:bCs w:val="false"/>
          <w:sz w:val="21"/>
          <w:szCs w:val="21"/>
          <w:rtl/>
        </w:rPr>
        <w:t xml:space="preserve">، ويقرر فيها المالك ومعماري القاعدة.</w:t>
      </w: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حزمة المراجعة الخارجية · BankFas · 2026-10-13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حزمة المراجعة الخارجية: قاعدة بيانات منصة الخزينة ومستندات الجاهزية</dc:title>
  <dc:creator>Claude</dc:creator>
  <dc:description>BankFas database design document</dc:description>
  <cp:lastModifiedBy>Un-named</cp:lastModifiedBy>
  <cp:revision>1</cp:revision>
  <dcterms:created xsi:type="dcterms:W3CDTF">2026-10-13T23:22:40.446Z</dcterms:created>
  <dcterms:modified xsi:type="dcterms:W3CDTF">2026-10-13T23:22:40.447Z</dcterms:modified>
</cp:coreProperties>
</file>

<file path=docProps/custom.xml><?xml version="1.0" encoding="utf-8"?>
<Properties xmlns="http://schemas.openxmlformats.org/officeDocument/2006/custom-properties" xmlns:vt="http://schemas.openxmlformats.org/officeDocument/2006/docPropsVTypes"/>
</file>