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وموقف البنك، ADR 0020، وقرار البنك الفعلي على كل تسهيل، ADR 0021)</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CA17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درجة التسهيلات والضمانات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48">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49">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0">
        <w:r>
          <w:rPr>
            <w:rFonts w:ascii="Arial" w:cs="Arial" w:eastAsia="Arial" w:hAnsi="Arial"/>
            <w:b/>
            <w:bCs/>
            <w:color w:val="1F3A5F"/>
            <w:sz w:val="20"/>
            <w:szCs w:val="20"/>
            <w:rtl/>
          </w:rPr>
          <w:t xml:space="preserve">18. التقرير</w:t>
        </w:r>
      </w:hyperlink>
    </w:p>
    <w:p>
      <w:pPr>
        <w:bidi/>
        <w:spacing w:after="50" w:before="0"/>
        <w:ind w:left="0"/>
      </w:pPr>
      <w:hyperlink w:history="1" w:anchor="_sec51">
        <w:r>
          <w:rPr>
            <w:rFonts w:ascii="Arial" w:cs="Arial" w:eastAsia="Arial" w:hAnsi="Arial"/>
            <w:b/>
            <w:bCs/>
            <w:color w:val="1F3A5F"/>
            <w:sz w:val="20"/>
            <w:szCs w:val="20"/>
            <w:rtl/>
          </w:rPr>
          <w:t xml:space="preserve">19. مثال محسوب</w:t>
        </w:r>
      </w:hyperlink>
    </w:p>
    <w:p>
      <w:pPr>
        <w:bidi/>
        <w:spacing w:after="50" w:before="0"/>
        <w:ind w:left="0"/>
      </w:pPr>
      <w:hyperlink w:history="1" w:anchor="_sec52">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3">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4">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5">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6">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57">
        <w:r>
          <w:rPr>
            <w:rFonts w:ascii="Arial" w:cs="Arial" w:eastAsia="Arial" w:hAnsi="Arial"/>
            <w:b/>
            <w:bCs/>
            <w:color w:val="1F3A5F"/>
            <w:sz w:val="20"/>
            <w:szCs w:val="20"/>
            <w:rtl/>
          </w:rPr>
          <w:t xml:space="preserve">25. حدود معروفة</w:t>
        </w:r>
      </w:hyperlink>
    </w:p>
    <w:p>
      <w:pPr>
        <w:bidi/>
        <w:spacing w:after="50" w:before="0"/>
        <w:ind w:left="0"/>
      </w:pPr>
      <w:hyperlink w:history="1" w:anchor="_sec58">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بالبنوك. فالتقييم يخبر الشركة </w:t>
      </w:r>
      <w:r>
        <w:rPr>
          <w:rFonts w:ascii="Arial" w:cs="Arial" w:eastAsia="Arial" w:hAnsi="Arial"/>
          <w:b/>
          <w:bCs/>
          <w:sz w:val="21"/>
          <w:szCs w:val="21"/>
          <w:rtl/>
        </w:rPr>
        <w:t xml:space="preserve">كيف سيقرأ محلل ائتمان في البنك قوائمها</w:t>
      </w:r>
      <w:r>
        <w:rPr>
          <w:rFonts w:ascii="Arial" w:cs="Arial" w:eastAsia="Arial" w:hAnsi="Arial"/>
          <w:b w:val="false"/>
          <w:bCs w:val="false"/>
          <w:sz w:val="21"/>
          <w:szCs w:val="21"/>
          <w:rtl/>
        </w:rPr>
        <w:t xml:space="preserve"> على طريقة وكالات التصنيف، ولماذا، وما الذي تستطيع فعله لتحسين قراءتها. وعند اعتماد قائمة مالية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المحلل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6"/>
        <w:gridCol w:w="4515"/>
        <w:gridCol w:w="1573"/>
      </w:tblGrid>
      <w:tr>
        <w:trPr>
          <w:cantSplit/>
          <w:tblHeader/>
        </w:trPr>
        <w:tc>
          <w:tcPr>
            <w:tcW w:type="dxa" w:w="3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المحلل، والتسهيلات والضمانات والتعهدات في المنصة، والكفلاء، وتقرير سمة، والنشاط وخطوط المنتجات</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المحلل؛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المحلل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المحلل: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المحلل،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المحلل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المحلل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قرار البنك الفعلي على التسهيل (قرار المالك 33، ADR 0021):</w:t>
      </w:r>
      <w:r>
        <w:rPr>
          <w:rFonts w:ascii="Arial" w:cs="Arial" w:eastAsia="Arial" w:hAnsi="Arial"/>
          <w:b w:val="false"/>
          <w:bCs w:val="false"/>
          <w:sz w:val="21"/>
          <w:szCs w:val="21"/>
          <w:rtl/>
        </w:rPr>
        <w:t xml:space="preserve"> يسجّل المستخدم لكل تسهيل قرار البنك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تقدير موقف البنك</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درجة التسهيلات والضمانات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المحلل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موقف البنك</w:t>
      </w:r>
      <w:r>
        <w:rPr>
          <w:rFonts w:ascii="Arial" w:cs="Arial" w:eastAsia="Arial" w:hAnsi="Arial"/>
          <w:b w:val="false"/>
          <w:bCs w:val="false"/>
          <w:sz w:val="21"/>
          <w:szCs w:val="21"/>
          <w:rtl/>
        </w:rPr>
        <w:t xml:space="preserve"> (قرار المالك 32): لا يسحب البنك التسهيلات المستعملة، لكنه بتقديره لمخاطر القطاع قد يخفض الخطوط أو يوقف الحدود غير المسحوبة أو يرفع هامشه ورسومه. ويقدّر النظام ذلك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ليرى المحلل والشركة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المحلل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1"/>
        <w:bidi/>
      </w:pPr>
      <w:bookmarkStart w:name="_sec48" w:id="48"/>
      <w:r>
        <w:rPr>
          <w:rFonts w:ascii="Arial" w:cs="Arial" w:eastAsia="Arial" w:hAnsi="Arial"/>
          <w:b/>
          <w:bCs/>
          <w:color w:val="1F3A5F"/>
          <w:sz w:val="32"/>
          <w:szCs w:val="32"/>
          <w:rtl/>
        </w:rPr>
        <w:t xml:space="preserve">16. النظرة المستقبلية ومحفزات الدرجة</w:t>
      </w:r>
      <w:bookmarkEnd w:id="48"/>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49" w:id="49"/>
      <w:r>
        <w:rPr>
          <w:rFonts w:ascii="Arial" w:cs="Arial" w:eastAsia="Arial" w:hAnsi="Arial"/>
          <w:b/>
          <w:bCs/>
          <w:color w:val="1F3A5F"/>
          <w:sz w:val="32"/>
          <w:szCs w:val="32"/>
          <w:rtl/>
        </w:rPr>
        <w:t xml:space="preserve">17. اكتمال البيانات وما يطلبه التقرير</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0" w:id="50"/>
      <w:r>
        <w:rPr>
          <w:rFonts w:ascii="Arial" w:cs="Arial" w:eastAsia="Arial" w:hAnsi="Arial"/>
          <w:b/>
          <w:bCs/>
          <w:color w:val="1F3A5F"/>
          <w:sz w:val="32"/>
          <w:szCs w:val="32"/>
          <w:rtl/>
        </w:rPr>
        <w:t xml:space="preserve">18. التقرير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1" w:id="51"/>
      <w:r>
        <w:rPr>
          <w:rFonts w:ascii="Arial" w:cs="Arial" w:eastAsia="Arial" w:hAnsi="Arial"/>
          <w:b/>
          <w:bCs/>
          <w:color w:val="1F3A5F"/>
          <w:sz w:val="32"/>
          <w:szCs w:val="32"/>
          <w:rtl/>
        </w:rPr>
        <w:t xml:space="preserve">19. مثال محسوب</w:t>
      </w:r>
      <w:bookmarkEnd w:id="51"/>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المحلل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1233"/>
        <w:gridCol w:w="1438"/>
        <w:gridCol w:w="1233"/>
        <w:gridCol w:w="1027"/>
        <w:gridCol w:w="1233"/>
        <w:gridCol w:w="1644"/>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20. الحوكمة والتحقق قبل الاستعمال</w:t>
      </w:r>
      <w:bookmarkEnd w:id="52"/>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الاستعمال في قرار.</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3" w:id="53"/>
      <w:r>
        <w:rPr>
          <w:rFonts w:ascii="Arial" w:cs="Arial" w:eastAsia="Arial" w:hAnsi="Arial"/>
          <w:b/>
          <w:bCs/>
          <w:color w:val="1F3A5F"/>
          <w:sz w:val="32"/>
          <w:szCs w:val="32"/>
          <w:rtl/>
        </w:rPr>
        <w:t xml:space="preserve">21. التحقق من التنفيذ</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22. المراجعة المستقلة</w:t>
      </w:r>
      <w:bookmarkEnd w:id="54"/>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23. الوثائق التي أرفقها المالك في 2026-10-19</w:t>
      </w:r>
      <w:bookmarkEnd w:id="55"/>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6" w:id="56"/>
      <w:r>
        <w:rPr>
          <w:rFonts w:ascii="Arial" w:cs="Arial" w:eastAsia="Arial" w:hAnsi="Arial"/>
          <w:b/>
          <w:bCs/>
          <w:color w:val="1F3A5F"/>
          <w:sz w:val="32"/>
          <w:szCs w:val="32"/>
          <w:rtl/>
        </w:rPr>
        <w:t xml:space="preserve">24. قرارات المالك والأسئلة الباقية</w:t>
      </w:r>
      <w:bookmarkEnd w:id="56"/>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57" w:id="57"/>
      <w:r>
        <w:rPr>
          <w:rFonts w:ascii="Arial" w:cs="Arial" w:eastAsia="Arial" w:hAnsi="Arial"/>
          <w:b/>
          <w:bCs/>
          <w:color w:val="1F3A5F"/>
          <w:sz w:val="32"/>
          <w:szCs w:val="32"/>
          <w:rtl/>
        </w:rPr>
        <w:t xml:space="preserve">25. حدود معروفة</w:t>
      </w:r>
      <w:bookmarkEnd w:id="57"/>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58" w:id="58"/>
      <w:r>
        <w:rPr>
          <w:rFonts w:ascii="Arial" w:cs="Arial" w:eastAsia="Arial" w:hAnsi="Arial"/>
          <w:b/>
          <w:bCs/>
          <w:color w:val="1F3A5F"/>
          <w:sz w:val="32"/>
          <w:szCs w:val="32"/>
          <w:rtl/>
        </w:rPr>
        <w:t xml:space="preserve">26. المراجع</w:t>
      </w:r>
      <w:bookmarkEnd w:id="58"/>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2026-10-19T22:53:07.936Z</dcterms:created>
  <dcterms:modified xsi:type="dcterms:W3CDTF">2026-10-19T22:53:07.936Z</dcterms:modified>
</cp:coreProperties>
</file>

<file path=docProps/custom.xml><?xml version="1.0" encoding="utf-8"?>
<Properties xmlns="http://schemas.openxmlformats.org/officeDocument/2006/custom-properties" xmlns:vt="http://schemas.openxmlformats.org/officeDocument/2006/docPropsVTypes"/>
</file>