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سجل القرارات المطلوبة من المالك</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11"/>
        <w:gridCol w:w="8653"/>
      </w:tblGrid>
      <w:tr>
        <w:trPr>
          <w:cantSplit/>
          <w:tblHeader/>
        </w:trPr>
        <w:tc>
          <w:tcPr>
            <w:tcW w:type="dxa" w:w="12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المنتج</w:t>
            </w:r>
          </w:p>
        </w:tc>
        <w:tc>
          <w:tcPr>
            <w:tcW w:type="dxa" w:w="8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منصة إدارة الخزينة متعددة المشتركين (BankFas)</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8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2026-10-12 (آخر تحديث 2026-10-22)</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المصدر</w:t>
            </w:r>
          </w:p>
        </w:tc>
        <w:tc>
          <w:tcPr>
            <w:tcW w:type="dxa" w:w="8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«القرارات المطلوبة» في مستندات الجاهزية الثلاثة والأربعين (</w:t>
            </w:r>
            <w:r>
              <w:rPr>
                <w:rFonts w:ascii="Courier New" w:cs="Courier New" w:eastAsia="Courier New" w:hAnsi="Courier New"/>
                <w:b w:val="false"/>
                <w:bCs w:val="false"/>
                <w:color w:val="1F2937"/>
                <w:sz w:val="16"/>
                <w:szCs w:val="16"/>
                <w:shd w:fill="F1F3F5" w:color="auto" w:val="clear"/>
                <w:rtl/>
              </w:rPr>
              <w:t xml:space="preserve">‎docs/30-readiness/‎</w:t>
            </w:r>
            <w:r>
              <w:rPr>
                <w:rFonts w:ascii="Arial" w:cs="Arial" w:eastAsia="Arial" w:hAnsi="Arial"/>
                <w:b w:val="false"/>
                <w:bCs w:val="false"/>
                <w:sz w:val="18"/>
                <w:szCs w:val="18"/>
                <w:rtl/>
              </w:rPr>
              <w:t xml:space="preserve">) وسجل البنود المفتوحة (</w:t>
            </w:r>
            <w:r>
              <w:rPr>
                <w:rFonts w:ascii="Courier New" w:cs="Courier New" w:eastAsia="Courier New" w:hAnsi="Courier New"/>
                <w:b w:val="false"/>
                <w:bCs w:val="false"/>
                <w:color w:val="1F2937"/>
                <w:sz w:val="16"/>
                <w:szCs w:val="16"/>
                <w:shd w:fill="F1F3F5" w:color="auto" w:val="clear"/>
                <w:rtl/>
              </w:rPr>
              <w:t xml:space="preserve">‎tools/dbgen/erd_open_items.py‎</w:t>
            </w:r>
            <w:r>
              <w:rPr>
                <w:rFonts w:ascii="Arial" w:cs="Arial" w:eastAsia="Arial" w:hAnsi="Arial"/>
                <w:b w:val="false"/>
                <w:bCs w:val="false"/>
                <w:sz w:val="18"/>
                <w:szCs w:val="18"/>
                <w:rtl/>
              </w:rPr>
              <w:t xml:space="preserve">)</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النطاق</w:t>
            </w:r>
          </w:p>
        </w:tc>
        <w:tc>
          <w:tcPr>
            <w:tcW w:type="dxa" w:w="8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قرار اسم صاحبه فيه المالك أو مالك المنتج أو مدير الخزينة أو إدارة العميل (OWN، TRM): 165 قرارًا من 447</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w:t>
            </w:r>
          </w:p>
        </w:tc>
        <w:tc>
          <w:tcPr>
            <w:tcW w:type="dxa" w:w="8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اعتمد المالك كل الافتراضات المقترحة في هذا السجل في 2026-10-12.</w:t>
            </w:r>
            <w:r>
              <w:rPr>
                <w:rFonts w:ascii="Arial" w:cs="Arial" w:eastAsia="Arial" w:hAnsi="Arial"/>
                <w:b w:val="false"/>
                <w:bCs w:val="false"/>
                <w:sz w:val="18"/>
                <w:szCs w:val="18"/>
                <w:rtl/>
              </w:rPr>
              <w:t xml:space="preserve"> كل صف معتمد مُعلَّم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في مستنده. القرارات التي افتراضها «بعد رأي قانوني» أو «يُتحقق قبل الشراء» تبقى أعمالًا مطلوبة لا قرارات مفتوحة</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التنفيذ</w:t>
            </w:r>
          </w:p>
        </w:tc>
        <w:tc>
          <w:tcPr>
            <w:tcW w:type="dxa" w:w="8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القرارات 1 إلى 4 في §1.1 منفّذة في القاعدة وتمر في CI (2026-10-12): docs/adr/0003-account-security-in-the-database.md، db/static/035_account_security.sql، db/tests/auth_flow_tests.sql. ومنفّذ أيضًا (ADR 0004): مهل الجلسة وإعدادات الأمان لكل مشترك (DQ-S03-6، DQ-S04-14)، وحسابات المشغّلين ودخولهم (DQ-S04-10، DQ-F07-3)، وربط الدعم المؤقت (DQ-F04-6)، والباقة STANDARD (DQ-B05-4)، والتهيئة وانتقالات الحالة (DQ-F05-2، DQ-F05-4، DQ-F05-6، DQ-F05-7)، وربط المهام الخلفية بالمقترح (DQ-F04-4). ومنفّذ أيضًا (ADR 0005): الترقيم بلا فجوات للطلبات والبروفورما مع اختبار تزامن (القرار 10، DQ-B02-4، O-12)، وقوائم الدول والعملات كاملة بإصدار ISO مسجَّل (DQ-B05-5)، ورموز الصلاحيات (القرار 7، DQ-F07-1، DQ-F09-1؛ 138 يومها، و140 اليوم). ومنفّذ أيضًا (2026-10-13): نموذج حالة الطلب الموحّد في المواصفة 13 (القرار 9، DQ-F08-1، O-10)، وقرارات نتائج المراجعة (O-15، ADR 0011)</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القرارات العاجلة</w:t>
        </w:r>
      </w:hyperlink>
    </w:p>
    <w:p>
      <w:pPr>
        <w:bidi/>
        <w:spacing w:after="50" w:before="0"/>
        <w:ind w:left="0"/>
      </w:pPr>
      <w:hyperlink w:history="1" w:anchor="_sec6">
        <w:r>
          <w:rPr>
            <w:rFonts w:ascii="Arial" w:cs="Arial" w:eastAsia="Arial" w:hAnsi="Arial"/>
            <w:b/>
            <w:bCs/>
            <w:color w:val="1F3A5F"/>
            <w:sz w:val="20"/>
            <w:szCs w:val="20"/>
            <w:rtl/>
          </w:rPr>
          <w:t xml:space="preserve">2. بنود مفتوحة في سجل البنود تحتاج قرارك</w:t>
        </w:r>
      </w:hyperlink>
    </w:p>
    <w:p>
      <w:pPr>
        <w:bidi/>
        <w:spacing w:after="50" w:before="0"/>
        <w:ind w:left="0"/>
      </w:pPr>
      <w:hyperlink w:history="1" w:anchor="_sec7">
        <w:r>
          <w:rPr>
            <w:rFonts w:ascii="Arial" w:cs="Arial" w:eastAsia="Arial" w:hAnsi="Arial"/>
            <w:b/>
            <w:bCs/>
            <w:color w:val="1F3A5F"/>
            <w:sz w:val="20"/>
            <w:szCs w:val="20"/>
            <w:rtl/>
          </w:rPr>
          <w:t xml:space="preserve">3. القائمة الكاملة حسب المستند</w:t>
        </w:r>
      </w:hyperlink>
    </w:p>
    <w:p>
      <w:r>
        <w:br w:type="page"/>
      </w:r>
    </w:p>
    <w:p>
      <w:pPr>
        <w:pStyle w:val="Heading1"/>
        <w:bidi/>
      </w:pPr>
      <w:bookmarkStart w:name="_sec1" w:id="1"/>
      <w:r>
        <w:rPr>
          <w:rFonts w:ascii="Arial" w:cs="Arial" w:eastAsia="Arial" w:hAnsi="Arial"/>
          <w:b/>
          <w:bCs/>
          <w:color w:val="1F3A5F"/>
          <w:sz w:val="32"/>
          <w:szCs w:val="32"/>
          <w:rtl/>
        </w:rPr>
        <w:t xml:space="preserve">1. القرارات العاجلة</w:t>
      </w:r>
      <w:bookmarkEnd w:id="1"/>
    </w:p>
    <w:p>
      <w:pPr>
        <w:bidi/>
        <w:spacing w:after="110" w:before="0" w:line="312"/>
      </w:pPr>
      <w:r>
        <w:rPr>
          <w:rFonts w:ascii="Arial" w:cs="Arial" w:eastAsia="Arial" w:hAnsi="Arial"/>
          <w:b w:val="false"/>
          <w:bCs w:val="false"/>
          <w:sz w:val="21"/>
          <w:szCs w:val="21"/>
          <w:rtl/>
        </w:rPr>
        <w:t xml:space="preserve">هذه أهم القرارات وأكثرها تعطيلًا للعمل، مرتبة حسب وقت الحاجة إليها، وكلها معتمدة كما اقتُرحت. القائمة الكاملة في القسم 3.</w:t>
      </w:r>
    </w:p>
    <w:p>
      <w:pPr>
        <w:pStyle w:val="Heading2"/>
        <w:bidi/>
      </w:pPr>
      <w:bookmarkStart w:name="_sec2" w:id="2"/>
      <w:r>
        <w:rPr>
          <w:rFonts w:ascii="Arial" w:cs="Arial" w:eastAsia="Arial" w:hAnsi="Arial"/>
          <w:b/>
          <w:bCs/>
          <w:color w:val="2B5C8A"/>
          <w:sz w:val="26"/>
          <w:szCs w:val="26"/>
          <w:rtl/>
        </w:rPr>
        <w:t xml:space="preserve">1.1 قبل كتابة كود S0</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4"/>
        <w:gridCol w:w="3625"/>
        <w:gridCol w:w="3101"/>
        <w:gridCol w:w="2174"/>
      </w:tblGrid>
      <w:tr>
        <w:trPr>
          <w:cantSplit/>
          <w:tblHeader/>
        </w:trPr>
        <w:tc>
          <w:tcPr>
            <w:tcW w:type="dxa" w:w="9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6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31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1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يدخل مشتركًا معلّقًا أو مغلقًا أو مؤرشفًا (O-18)</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معلّق: مدير الحساب وحده للقراءة والتصدير؛ مغلق: مدير الحساب للتصدير فقط 30 يومًا بعد الإغلاق؛ مؤرشف: لا أحد من المشترك</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DQ-F04-1</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MFA إلزامي لكل مستخدم، وهل يستطيع المشترك تعطيله؟</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 لكل مستخدم غير خدمي، ولا يعطّله المشترك</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DQ-F03-4، DQ-S01-3، DQ-S04-11</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المخاطر المتبقية داخل المشترك (O-24) قبل كتابة كود الدخول</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إجراءات لتغيير كلمة المرور وإنهاء الجلسة، ومنع التطبيق من تعديل الأعمدة الحساسة</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DQ-S03-5، DQ-S01-2</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مسار ما قبل الدخول (الدعوة، إعادة التعيين، التحقق من TOTP)</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يُبنى في S0 بإجراءات ضيقة داخل القاعدة على نمط ADR 0002، في ADR جديد</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تشغيل طبقة التطبيق</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Windows Server حتى المراجعة، والتطبيق يُبنى ليعمل على النظامين، وتُقارن المراجعة بـ Ubuntu 24.04</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واحد للتطبيق والقاعدة أم خادمان</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خادمان منفصلان</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DQ-B11-2</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الصلاحيات المقترحة</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تُعتمد كما في DOC-F07 وDOC-F09</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DQ-F07-1، DQ-F09-1</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مالك المنتج ومدير الخزينة لدى العميل شخص واحد؟</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دوران منفصلان؛ إن كانا شخصًا واحدًا يعتمد غيره ما يقترحه تقنيًا</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DQ-B09-1</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حالة الطلب الموحّد (AWAITING_CLOSE والإقفال بيد الخزينة) وتعديل المواصفة 13 به</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يُعتمد كما في DOC-F08</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DQ-F08-1</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يُسمح بفجوات في الترقيم (O-12)؟</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فجوات لأرقام الطلبات والبروفورما</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DQ-B02-4</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الإشعار حين يغيب قالب لغة المستلم</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ويُعدَّل FR-NTF-024</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DQ-B02-2، DQ-F17-8</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ينشئ حسابات مشغّلي المنصة</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مدير مشغّلين يُنشأ عند النشر، ثم يدير البقية من لوحة المشغّل</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DQ-F07-3</w:t>
            </w:r>
          </w:p>
        </w:tc>
      </w:tr>
    </w:tbl>
    <w:p>
      <w:pPr>
        <w:bidi/>
        <w:spacing w:after="120" w:before="0"/>
      </w:pPr>
    </w:p>
    <w:p>
      <w:pPr>
        <w:pStyle w:val="Heading2"/>
        <w:bidi/>
      </w:pPr>
      <w:bookmarkStart w:name="_sec3" w:id="3"/>
      <w:r>
        <w:rPr>
          <w:rFonts w:ascii="Arial" w:cs="Arial" w:eastAsia="Arial" w:hAnsi="Arial"/>
          <w:b/>
          <w:bCs/>
          <w:color w:val="2B5C8A"/>
          <w:sz w:val="26"/>
          <w:szCs w:val="26"/>
          <w:rtl/>
        </w:rPr>
        <w:t xml:space="preserve">1.2 قبل تحميل أي بيانات حقيقية</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8"/>
        <w:gridCol w:w="2985"/>
        <w:gridCol w:w="3215"/>
        <w:gridCol w:w="2686"/>
      </w:tblGrid>
      <w:tr>
        <w:trPr>
          <w:cantSplit/>
          <w:tblHeader/>
        </w:trPr>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32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6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يُحفظ المفتاح الرئيسي ومفتاح المنصة</w:t>
            </w:r>
          </w:p>
        </w:tc>
        <w:tc>
          <w:tcPr>
            <w:tcW w:type="dxa" w:w="32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إدارة مفاتيح أو وحدة أمن عتادية خارج خادم القاعدة وخارج حساب الاستضافة</w:t>
            </w:r>
          </w:p>
        </w:tc>
        <w:tc>
          <w:tcPr>
            <w:tcW w:type="dxa" w:w="2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الحافظان للمفاتيح</w:t>
            </w:r>
          </w:p>
        </w:tc>
        <w:tc>
          <w:tcPr>
            <w:tcW w:type="dxa" w:w="32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وممثل المالك؛ مدير قاعدة البيانات مستبعد من المفتاح الرئيسي</w:t>
            </w:r>
          </w:p>
        </w:tc>
        <w:tc>
          <w:tcPr>
            <w:tcW w:type="dxa" w:w="2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DQ-S02-2</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SQL Server المرخَّص (يشمل TDE وتشفير النسخ؟)</w:t>
            </w:r>
          </w:p>
        </w:tc>
        <w:tc>
          <w:tcPr>
            <w:tcW w:type="dxa" w:w="32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يُتحقق قبل الشراء؛ CI يستعمل إصدار المطورين</w:t>
            </w:r>
          </w:p>
        </w:tc>
        <w:tc>
          <w:tcPr>
            <w:tcW w:type="dxa" w:w="2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DQ-S02-5</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دولة خادم الإنتاج، ودولة النسخ الاحتياطية ومخزن المفاتيح</w:t>
            </w:r>
          </w:p>
        </w:tc>
        <w:tc>
          <w:tcPr>
            <w:tcW w:type="dxa" w:w="32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تُختار بعد رأي قانوني؛ النسخ عند مزوّد مختلف في دولة يقبلها الرأي القانوني</w:t>
            </w:r>
          </w:p>
        </w:tc>
        <w:tc>
          <w:tcPr>
            <w:tcW w:type="dxa" w:w="2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 DQ-S07-2، DQ-S09-2</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القانونية (متحكم ومعالج) وملحق المعالجة في عقد الاشتراك</w:t>
            </w:r>
          </w:p>
        </w:tc>
        <w:tc>
          <w:tcPr>
            <w:tcW w:type="dxa" w:w="32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الافتراض في DOC-S07 §2 مع ملحق معالجة في العقد</w:t>
            </w:r>
          </w:p>
        </w:tc>
        <w:tc>
          <w:tcPr>
            <w:tcW w:type="dxa" w:w="2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DQ-S07-3</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أهداف الاستعادة والتوفر: RPO 15 دقيقة، RTO 4 ساعات، توفر 99.5%</w:t>
            </w:r>
          </w:p>
        </w:tc>
        <w:tc>
          <w:tcPr>
            <w:tcW w:type="dxa" w:w="32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تُعتمد، مع العلم أن استعادة كاملة واحدة تتجاوز ميزانية توقف الشهر، وتُراجع بعد أول تمرين</w:t>
            </w:r>
          </w:p>
        </w:tc>
        <w:tc>
          <w:tcPr>
            <w:tcW w:type="dxa" w:w="2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DQ-S09-1، DQ-B03-2، DQ-B03-3</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شهادات TLS</w:t>
            </w:r>
          </w:p>
        </w:tc>
        <w:tc>
          <w:tcPr>
            <w:tcW w:type="dxa" w:w="32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عامة عبر ACME بتحدي DNS، وشهادة شاملة للنطاقات الفرعية</w:t>
            </w:r>
          </w:p>
        </w:tc>
        <w:tc>
          <w:tcPr>
            <w:tcW w:type="dxa" w:w="2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 DQ-S05-2</w:t>
            </w:r>
          </w:p>
        </w:tc>
      </w:tr>
    </w:tbl>
    <w:p>
      <w:pPr>
        <w:bidi/>
        <w:spacing w:after="120" w:before="0"/>
      </w:pPr>
    </w:p>
    <w:p>
      <w:pPr>
        <w:pStyle w:val="Heading2"/>
        <w:bidi/>
      </w:pPr>
      <w:bookmarkStart w:name="_sec4" w:id="4"/>
      <w:r>
        <w:rPr>
          <w:rFonts w:ascii="Arial" w:cs="Arial" w:eastAsia="Arial" w:hAnsi="Arial"/>
          <w:b/>
          <w:bCs/>
          <w:color w:val="2B5C8A"/>
          <w:sz w:val="26"/>
          <w:szCs w:val="26"/>
          <w:rtl/>
        </w:rPr>
        <w:t xml:space="preserve">1.3 قبل الإطلاق التجريبي</w:t>
      </w:r>
      <w:bookmarkEnd w:id="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5"/>
        <w:gridCol w:w="2630"/>
        <w:gridCol w:w="3619"/>
        <w:gridCol w:w="2630"/>
      </w:tblGrid>
      <w:tr>
        <w:trPr>
          <w:cantSplit/>
          <w:tblHeader/>
        </w:trPr>
        <w:tc>
          <w:tcPr>
            <w:tcW w:type="dxa" w:w="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6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36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6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المشترك التجريبي</w:t>
            </w:r>
          </w:p>
        </w:tc>
        <w:tc>
          <w:tcPr>
            <w:tcW w:type="dxa" w:w="3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مجموعة العميل التي زوّدت الاتفاقيات</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DQ-B12-3</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تُستعمل بيانات العميل الحقيقية مجهّلة في UAT؟</w:t>
            </w:r>
          </w:p>
        </w:tc>
        <w:tc>
          <w:tcPr>
            <w:tcW w:type="dxa" w:w="3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افتراضيًا؛ بيانات اصطناعية والاتفاقيات مجهّلة</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DQ-B06-1</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القانون الواجب ومهل الإبلاغ عن الخروقات</w:t>
            </w:r>
          </w:p>
        </w:tc>
        <w:tc>
          <w:tcPr>
            <w:tcW w:type="dxa" w:w="3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يحددها المستشار القانوني لكل دولة قبل الإطلاق</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DQ-S15-5</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يُغلق مشترك حقيقي قبل بناء تصدير بياناته؟</w:t>
            </w:r>
          </w:p>
        </w:tc>
        <w:tc>
          <w:tcPr>
            <w:tcW w:type="dxa" w:w="3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DQ-F05-7</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المخاطر المتبقية المنخفضة O-20 وO-21 وO-22</w:t>
            </w:r>
          </w:p>
        </w:tc>
        <w:tc>
          <w:tcPr>
            <w:tcW w:type="dxa" w:w="3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تُقبل بتقييم منخفض ومالك ومراجعة قبل S2</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DQ-S01-6</w:t>
            </w:r>
          </w:p>
        </w:tc>
      </w:tr>
    </w:tbl>
    <w:p>
      <w:pPr>
        <w:bidi/>
        <w:spacing w:after="120" w:before="0"/>
      </w:pPr>
    </w:p>
    <w:p>
      <w:pPr>
        <w:pStyle w:val="Heading2"/>
        <w:bidi/>
      </w:pPr>
      <w:bookmarkStart w:name="_sec5" w:id="5"/>
      <w:r>
        <w:rPr>
          <w:rFonts w:ascii="Arial" w:cs="Arial" w:eastAsia="Arial" w:hAnsi="Arial"/>
          <w:b/>
          <w:bCs/>
          <w:color w:val="2B5C8A"/>
          <w:sz w:val="26"/>
          <w:szCs w:val="26"/>
          <w:rtl/>
        </w:rPr>
        <w:t xml:space="preserve">1.4 طلبات المالك بعد الاعتماد</w:t>
      </w:r>
      <w:bookmarkEnd w:id="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3"/>
        <w:gridCol w:w="2636"/>
        <w:gridCol w:w="4639"/>
        <w:gridCol w:w="1646"/>
      </w:tblGrid>
      <w:tr>
        <w:trPr>
          <w:cantSplit/>
          <w:tblHeader/>
        </w:trPr>
        <w:tc>
          <w:tcPr>
            <w:tcW w:type="dxa" w:w="9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6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الطلب</w:t>
            </w:r>
          </w:p>
        </w:tc>
        <w:tc>
          <w:tcPr>
            <w:tcW w:type="dxa" w:w="46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بُني</w:t>
            </w:r>
          </w:p>
        </w:tc>
        <w:tc>
          <w:tcPr>
            <w:tcW w:type="dxa" w:w="16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26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وحدة الميزانية في قسم التسهيلات (2026-10-18).</w:t>
            </w:r>
            <w:r>
              <w:rPr>
                <w:rFonts w:ascii="Arial" w:cs="Arial" w:eastAsia="Arial" w:hAnsi="Arial"/>
                <w:b w:val="false"/>
                <w:bCs w:val="false"/>
                <w:sz w:val="18"/>
                <w:szCs w:val="18"/>
                <w:rtl/>
              </w:rPr>
              <w:t xml:space="preserve"> قوائم الشركة المستقلة، وللقابضة قوائم موحدة أو مستقلة بكامل وحداتها، تُدخل لدراسة الميزانية؛ وتقرير من النظام بكل الخروقات الناشئة عن القوائم في ظل التعهدات البنكية؛ وقياس أداء الشركة في الالتزام بالسيولة المحوَّلة إلى البنك. الربط بنظام آخر للتقييم الائتماني مرحلة لاحقة</w:t>
            </w:r>
          </w:p>
        </w:tc>
        <w:tc>
          <w:tcPr>
            <w:tcW w:type="dxa" w:w="46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بُني الآن في S2-ب: الوحدات والقوائم الموحدة، ومقاييس التحليل، وتقرير الخروقات، وأداء التحويلات، وتقدير الإيراد (045، ADR 0016). التقييم الائتماني لا يُبنى الآن؛ نقطة جاهزيته في المواصفة 12 §11</w:t>
            </w:r>
          </w:p>
        </w:tc>
        <w:tc>
          <w:tcPr>
            <w:tcW w:type="dxa" w:w="1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FR-FIN-015 إلى FR-FIN-019؛ </w:t>
            </w:r>
            <w:r>
              <w:rPr>
                <w:rFonts w:ascii="Courier New" w:cs="Courier New" w:eastAsia="Courier New" w:hAnsi="Courier New"/>
                <w:b w:val="false"/>
                <w:bCs w:val="false"/>
                <w:color w:val="1F2937"/>
                <w:sz w:val="16"/>
                <w:szCs w:val="16"/>
                <w:shd w:fill="F1F3F5" w:color="auto" w:val="clear"/>
                <w:rtl/>
              </w:rPr>
              <w:t xml:space="preserve">‎docs/03‎</w:t>
            </w:r>
            <w:r>
              <w:rPr>
                <w:rFonts w:ascii="Arial" w:cs="Arial" w:eastAsia="Arial" w:hAnsi="Arial"/>
                <w:b w:val="false"/>
                <w:bCs w:val="false"/>
                <w:sz w:val="18"/>
                <w:szCs w:val="18"/>
                <w:rtl/>
              </w:rPr>
              <w:t xml:space="preserve"> §10</w:t>
            </w:r>
          </w:p>
        </w:tc>
      </w:tr>
      <w:tr>
        <w:trPr>
          <w:cantSplit/>
        </w:trPr>
        <w:tc>
          <w:tcPr>
            <w:tcW w:type="dxa" w:w="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w:t>
            </w:r>
          </w:p>
        </w:tc>
        <w:tc>
          <w:tcPr>
            <w:tcW w:type="dxa" w:w="26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اعتماد قاعدة BR-FIN-016 كما هي (2026-10-18).</w:t>
            </w:r>
            <w:r>
              <w:rPr>
                <w:rFonts w:ascii="Arial" w:cs="Arial" w:eastAsia="Arial" w:hAnsi="Arial"/>
                <w:b w:val="false"/>
                <w:bCs w:val="false"/>
                <w:sz w:val="18"/>
                <w:szCs w:val="18"/>
                <w:rtl/>
              </w:rPr>
              <w:t xml:space="preserve"> التحويل المنسوب إلى تسهيل يُعدّ له وحده، والتحويل على مستوى البنك يُعدّ لكل تعهدات تسهيلات ذلك البنك</w:t>
            </w:r>
          </w:p>
        </w:tc>
        <w:tc>
          <w:tcPr>
            <w:tcW w:type="dxa" w:w="46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تغيير في القاعدة؛ رُفعت علامة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من المواصفة 12 وdocs/03 وADR 0016</w:t>
            </w:r>
          </w:p>
        </w:tc>
        <w:tc>
          <w:tcPr>
            <w:tcW w:type="dxa" w:w="1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BR-FIN-016</w:t>
            </w:r>
          </w:p>
        </w:tc>
      </w:tr>
      <w:tr>
        <w:trPr>
          <w:cantSplit/>
        </w:trPr>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c>
          <w:tcPr>
            <w:tcW w:type="dxa" w:w="26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التقييم الشامل للميزانية على أسس موديز (2026-10-18).</w:t>
            </w:r>
            <w:r>
              <w:rPr>
                <w:rFonts w:ascii="Arial" w:cs="Arial" w:eastAsia="Arial" w:hAnsi="Arial"/>
                <w:b w:val="false"/>
                <w:bCs w:val="false"/>
                <w:sz w:val="18"/>
                <w:szCs w:val="18"/>
                <w:rtl/>
              </w:rPr>
              <w:t xml:space="preserve"> تقييم شامل عند دراسة الميزانية، ونقاط القوة من النسب المالية ومدى توافقها مع النسب، والمخاطر الناتجة في تقرير من النظام؛ والمعايير يبنيها المحلل بالاستعانة بخبير ائتمان مصرفي على أسس موديز: وزن لكل نسبة ودرجات مخاطر لكل بند من الميزانية والتحليلات الناتجة عنها</w:t>
            </w:r>
          </w:p>
        </w:tc>
        <w:tc>
          <w:tcPr>
            <w:tcW w:type="dxa" w:w="46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بُني في S2-ب: سلّم موديز بـ21 درجة، وثلاث بطاقات قطاعية بأوزانها وشبكاتها، و23 قاعدة لمخاطر البنود، و17 تعديلًا وسقف قطاع، وتقرير بنقاط القوة والضعف والمخاطر والتوافق مع التعهدات والتحويلات (046، 104، ADR 0017). راجعها وكيل ذكاء اصطناعي منفصل في دور محلل ائتمان أول، لا محلل بشري، وعُدّلت بملاحظاته. </w:t>
            </w:r>
            <w:r>
              <w:rPr>
                <w:rFonts w:ascii="Arial" w:cs="Arial" w:eastAsia="Arial" w:hAnsi="Arial"/>
                <w:b/>
                <w:bCs/>
                <w:sz w:val="18"/>
                <w:szCs w:val="18"/>
                <w:rtl/>
              </w:rPr>
              <w:t xml:space="preserve">سبعة أسئلة لك</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§15 بقيمها المبنية. الربط مع نظام التقييم الخارجي يبقى مرحلة لاحقة</w:t>
            </w:r>
          </w:p>
        </w:tc>
        <w:tc>
          <w:tcPr>
            <w:tcW w:type="dxa" w:w="1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FR-FIN-020 إلى FR-FIN-024؛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‎docs/03‎</w:t>
            </w:r>
            <w:r>
              <w:rPr>
                <w:rFonts w:ascii="Arial" w:cs="Arial" w:eastAsia="Arial" w:hAnsi="Arial"/>
                <w:b w:val="false"/>
                <w:bCs w:val="false"/>
                <w:sz w:val="18"/>
                <w:szCs w:val="18"/>
                <w:rtl/>
              </w:rPr>
              <w:t xml:space="preserve"> §11</w:t>
            </w:r>
          </w:p>
        </w:tc>
      </w:tr>
      <w:tr>
        <w:trPr>
          <w:cantSplit/>
        </w:trPr>
        <w:tc>
          <w:tcPr>
            <w:tcW w:type="dxa" w:w="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26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التقييم بعمق موديز وفيتش وسمة، وخطط التقوية (2026-10-19).</w:t>
            </w:r>
            <w:r>
              <w:rPr>
                <w:rFonts w:ascii="Arial" w:cs="Arial" w:eastAsia="Arial" w:hAnsi="Arial"/>
                <w:b w:val="false"/>
                <w:bCs w:val="false"/>
                <w:sz w:val="18"/>
                <w:szCs w:val="18"/>
                <w:rtl/>
              </w:rPr>
              <w:t xml:space="preserve"> دراسة كل بند من الميزانية بخطره وأثره على النقد وعلى ملاءة الشركاء ووزنه وأفضل إعادة تبويب له؛ والربط بالتسهيلات المسجلة على المنصة، وطلب البيانات التفصيلية، ومدى درجة القطاع، ومنتجات الشركة وسيولة مخزونها في السوق الراكد والأزمات؛ وتحليل شامل وسيناريو جاهز لأفضل خطط تقوية القوائم عند طلب العميل دون الإخلال بتوازنها</w:t>
            </w:r>
          </w:p>
        </w:tc>
        <w:tc>
          <w:tcPr>
            <w:tcW w:type="dxa" w:w="46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بُني في S2-ب: 157 بندًا معياريًا، و112 مقياسًا، و61 نشاطًا و15 فئة منتجات بسيناريوهاتها، ولقطة التسهيلات والضمانات، و39 علاجًا و10 خطط تقوية متوازنة، والنظرة المستقبلية ومحفّزاتها (047، ADR 0018). صاغها وراجعها وكلاء ذكاء اصطناعي لا محللون بشريون. وثائق موديز المرفقة دُرست ولم يُنقل منها شيء لأنها تمنع ذلك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§23)؛ واستعمال أرقام موديز نفسها يحتاج ترخيصًا. </w:t>
            </w:r>
            <w:r>
              <w:rPr>
                <w:rFonts w:ascii="Arial" w:cs="Arial" w:eastAsia="Arial" w:hAnsi="Arial"/>
                <w:b/>
                <w:bCs/>
                <w:sz w:val="18"/>
                <w:szCs w:val="18"/>
                <w:rtl/>
              </w:rPr>
              <w:t xml:space="preserve">أسئلة لك</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§24</w:t>
            </w:r>
          </w:p>
        </w:tc>
        <w:tc>
          <w:tcPr>
            <w:tcW w:type="dxa" w:w="1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FR-FIN-025 إلى FR-FIN-030؛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الإصدار 2.0</w:t>
            </w:r>
          </w:p>
        </w:tc>
      </w:tr>
      <w:tr>
        <w:trPr>
          <w:cantSplit/>
        </w:trPr>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29</w:t>
            </w:r>
          </w:p>
        </w:tc>
        <w:tc>
          <w:tcPr>
            <w:tcW w:type="dxa" w:w="26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إجابات أسئلة التقييم (2026-10-19).</w:t>
            </w:r>
            <w:r>
              <w:rPr>
                <w:rFonts w:ascii="Arial" w:cs="Arial" w:eastAsia="Arial" w:hAnsi="Arial"/>
                <w:b w:val="false"/>
                <w:bCs w:val="false"/>
                <w:sz w:val="18"/>
                <w:szCs w:val="18"/>
                <w:rtl/>
              </w:rPr>
              <w:t xml:space="preserve"> الممارسة المعيارية لوكالات التصنيف: لكل نشاط تفصيلي (مواد البناء منتهية الصنع غير الحديد غير الإسمنت غير البلك، والأدوية والأغذية والتجزئة والتجارة العامة والسيارات والطيران والسياحة والضيافة والمطاعم والتطوير العقاري والمقاولات) مخاطره ووزنه في الأزمات، بحسب البلد العربي والمدينة، وتأثر المقاولات بالعقار والإنفاق الحكومي وعجز الميزانية؛ والإيرادات من 10 ملايين إلى 10 مليارات؛ وسلّم موديز بإحدى وعشرين درجة؛ وتتحقق إدارة الخزينة في الشركة؛ والمعايرة خاصة بالنظام؛ والموافقة على النظرة والقواعد، والخطط عند الطلب</w:t>
            </w:r>
          </w:p>
        </w:tc>
        <w:tc>
          <w:tcPr>
            <w:tcW w:type="dxa" w:w="46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بُني في S2-ب (ADR 0019): 16 عائلة قطاعية ببطاقاتها وعوامل ملف أعمالها، و282 نشاطًا تفصيليًا بحساسيتها لسبعة محركات (الطلب، والإنفاق الحكومي، والعقار، والنزاعات، والنفط، والائتمان، والاستيراد والعملة)، و22 بلدًا عربيًا بمخاطرها وتصنيفها السيادي وسقفها و127 مدينة ومنطقة، ومرتكز من مخاطر البلد والنشاط، وستة سيناريوهات (ركود، وأزمة مالية، وتقشف حكومي، وتصحيح عقاري، ونزاع إقليمي، وانهيار النفط)، وشبكات حجم وأربعة سقوف على 10 ملايين إلى 10 مليارات. صاغها وراجعها وكلاء ذكاء اصطناعي لا محللون بشريون، ومرت 51 حالة ضغط في مدى المراجع (24 خلية قبلها المراجع خارج مداه بسبب مكتوب). </w:t>
            </w:r>
            <w:r>
              <w:rPr>
                <w:rFonts w:ascii="Arial" w:cs="Arial" w:eastAsia="Arial" w:hAnsi="Arial"/>
                <w:b/>
                <w:bCs/>
                <w:sz w:val="18"/>
                <w:szCs w:val="18"/>
                <w:rtl/>
              </w:rPr>
              <w:t xml:space="preserve">أسئلة باقية</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§24</w:t>
            </w:r>
          </w:p>
        </w:tc>
        <w:tc>
          <w:tcPr>
            <w:tcW w:type="dxa" w:w="1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FR-FIN-031 إلى FR-FIN-033، BR-FIN-031 إلى BR-FIN-034؛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الإصدار 2.1</w:t>
            </w:r>
          </w:p>
        </w:tc>
      </w:tr>
      <w:tr>
        <w:trPr>
          <w:cantSplit/>
        </w:trPr>
        <w:tc>
          <w:tcPr>
            <w:tcW w:type="dxa" w:w="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26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السقف السيادي والمراجعة وسيناريو الحدث الجاري (2026-10-19).</w:t>
            </w:r>
            <w:r>
              <w:rPr>
                <w:rFonts w:ascii="Arial" w:cs="Arial" w:eastAsia="Arial" w:hAnsi="Arial"/>
                <w:b w:val="false"/>
                <w:bCs w:val="false"/>
                <w:sz w:val="18"/>
                <w:szCs w:val="18"/>
                <w:rtl/>
              </w:rPr>
              <w:t xml:space="preserve"> يعتمد مشغّل المنصة التصنيفات السيادية؛ ويمكن أن تراجع إدارة الخزينة مخاطر بلدانها؛ ونعم لسيناريو خاص بحدث جارٍ</w:t>
            </w:r>
          </w:p>
        </w:tc>
        <w:tc>
          <w:tcPr>
            <w:tcW w:type="dxa" w:w="46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§24، وبُني السيناريو بالقرار 31</w:t>
            </w:r>
          </w:p>
        </w:tc>
        <w:tc>
          <w:tcPr>
            <w:tcW w:type="dxa" w:w="1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§24</w:t>
            </w:r>
          </w:p>
        </w:tc>
      </w:tr>
      <w:tr>
        <w:trPr>
          <w:cantSplit/>
        </w:trPr>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c>
          <w:tcPr>
            <w:tcW w:type="dxa" w:w="26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أسئلة صفحة الأسئلة المفتوحة (2026-10-19).</w:t>
            </w:r>
            <w:r>
              <w:rPr>
                <w:rFonts w:ascii="Arial" w:cs="Arial" w:eastAsia="Arial" w:hAnsi="Arial"/>
                <w:b w:val="false"/>
                <w:bCs w:val="false"/>
                <w:sz w:val="18"/>
                <w:szCs w:val="18"/>
                <w:rtl/>
              </w:rPr>
              <w:t xml:space="preserve"> اعتمد المالك الافتراضي الموصى به لكل الأسئلة المفتوحة الـ148 في مواصفات الوحدات، ولبنود السجل O-03 وO-05 وO-06، وللمقترحات EV-01 إلى EV-05 لسيناريو الحدث الجاري؛ وأجاب عن EV-06: «توقف حد الائتمان الذي لم يتم إطلاقه»</w:t>
            </w:r>
          </w:p>
        </w:tc>
        <w:tc>
          <w:tcPr>
            <w:tcW w:type="dxa" w:w="46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الأسئلة الـ155 كلها محسومة في القسم 14 من المواصفات وفي </w:t>
            </w:r>
            <w:r>
              <w:rPr>
                <w:rFonts w:ascii="Courier New" w:cs="Courier New" w:eastAsia="Courier New" w:hAnsi="Courier New"/>
                <w:b w:val="false"/>
                <w:bCs w:val="false"/>
                <w:color w:val="1F2937"/>
                <w:sz w:val="16"/>
                <w:szCs w:val="16"/>
                <w:shd w:fill="F1F3F5" w:color="auto" w:val="clear"/>
                <w:rtl/>
              </w:rPr>
              <w:t xml:space="preserve">‎docs/10-detailed-analysis/90‎</w:t>
            </w:r>
            <w:r>
              <w:rPr>
                <w:rFonts w:ascii="Arial" w:cs="Arial" w:eastAsia="Arial" w:hAnsi="Arial"/>
                <w:b w:val="false"/>
                <w:bCs w:val="false"/>
                <w:sz w:val="18"/>
                <w:szCs w:val="18"/>
                <w:rtl/>
              </w:rPr>
              <w:t xml:space="preserve">. وبُني السيناريو السابع </w:t>
            </w:r>
            <w:r>
              <w:rPr>
                <w:rFonts w:ascii="Courier New" w:cs="Courier New" w:eastAsia="Courier New" w:hAnsi="Courier New"/>
                <w:b w:val="false"/>
                <w:bCs w:val="false"/>
                <w:color w:val="1F2937"/>
                <w:sz w:val="16"/>
                <w:szCs w:val="16"/>
                <w:shd w:fill="F1F3F5" w:color="auto" w:val="clear"/>
                <w:rtl/>
              </w:rPr>
              <w:t xml:space="preserve">‎GULF_SHIPPING_CONFLICT‎</w:t>
            </w:r>
            <w:r>
              <w:rPr>
                <w:rFonts w:ascii="Arial" w:cs="Arial" w:eastAsia="Arial" w:hAnsi="Arial"/>
                <w:b w:val="false"/>
                <w:bCs w:val="false"/>
                <w:sz w:val="18"/>
                <w:szCs w:val="18"/>
                <w:rtl/>
              </w:rPr>
              <w:t xml:space="preserve"> «نزاع الخليج وممرات الملاحة» (ADR 0020): سنة كاملة، والبلدان بمضاعف (البحرين والكويت والإمارات 1.3، والسعودية وقطر وعُمان 1.0، والأردن ومصر 0.9، وغيرها 0.5)، والشدة على النزاع والاستيراد كاملة ولا شيء على سعر النفط، ولا تُسحب الخطوط المستعملة لكن </w:t>
            </w:r>
            <w:r>
              <w:rPr>
                <w:rFonts w:ascii="Arial" w:cs="Arial" w:eastAsia="Arial" w:hAnsi="Arial"/>
                <w:b/>
                <w:bCs/>
                <w:sz w:val="18"/>
                <w:szCs w:val="18"/>
                <w:rtl/>
              </w:rPr>
              <w:t xml:space="preserve">يتوقف كل حد ملتزم غير مسحوب</w:t>
            </w:r>
            <w:r>
              <w:rPr>
                <w:rFonts w:ascii="Arial" w:cs="Arial" w:eastAsia="Arial" w:hAnsi="Arial"/>
                <w:b w:val="false"/>
                <w:bCs w:val="false"/>
                <w:sz w:val="18"/>
                <w:szCs w:val="18"/>
                <w:rtl/>
              </w:rPr>
              <w:t xml:space="preserve"> فلا يُحسب في السيولة. فُهم EV-06 هكذا؛ وإن كان المقصود أيضًا سحب جزء من الخطوط المستعملة فيكفي تعديل نسبة السحب</w:t>
            </w:r>
          </w:p>
        </w:tc>
        <w:tc>
          <w:tcPr>
            <w:tcW w:type="dxa" w:w="1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O-03، O-05، O-06، O-07؛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§14؛ ADR 0020</w:t>
            </w:r>
          </w:p>
        </w:tc>
      </w:tr>
      <w:tr>
        <w:trPr>
          <w:cantSplit/>
        </w:trPr>
        <w:tc>
          <w:tcPr>
            <w:tcW w:type="dxa" w:w="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26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موقف البنك من التسهيلات في الأزمات (2026-10-19).</w:t>
            </w:r>
            <w:r>
              <w:rPr>
                <w:rFonts w:ascii="Arial" w:cs="Arial" w:eastAsia="Arial" w:hAnsi="Arial"/>
                <w:b w:val="false"/>
                <w:bCs w:val="false"/>
                <w:sz w:val="18"/>
                <w:szCs w:val="18"/>
                <w:rtl/>
              </w:rPr>
              <w:t xml:space="preserve"> البنك الذي يرى مخاطر مرتفعة قد لا يسحب التسهيلات أو الحدود، لكنه يعود إلى الموافقات النهائية: إن أُطلقت الحدود فله أن يوقفها، وقد يوقفها إن ارتفعت مخاطر قطاع معين أو يخفضها أو يرفع التسعير والمصاريف الإدارية؛ وكل ذلك يخضع لمعايير الجهة المانحة وتقديراتها</w:t>
            </w:r>
          </w:p>
        </w:tc>
        <w:tc>
          <w:tcPr>
            <w:tcW w:type="dxa" w:w="46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السيناريوهات السبعة كلها (ADR 0020): لا تُسحب الخطوط المستعملة؛ تُخفض الخطوط قصيرة الأجل عند تجديدها، وتُوقف نسبة من الحدود الملتزمة غير المسحوبة، ويُضاف هامش ورسوم على التسهيلات قصيرة الأجل عند تجديدها، كلها بعامل البنك من مخاطر القطاع وتعرض البلد؛ والقرض طويل الأجل يبقى بسعر عقده. وهي تقدير للتقييم لا قرار البنك الفعلي. بقيت حالات المراجعة الـ51 في مداها</w:t>
            </w:r>
          </w:p>
        </w:tc>
        <w:tc>
          <w:tcPr>
            <w:tcW w:type="dxa" w:w="1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§14؛ ADR 0020</w:t>
            </w:r>
          </w:p>
        </w:tc>
      </w:tr>
      <w:tr>
        <w:trPr>
          <w:cantSplit/>
        </w:trPr>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c>
          <w:tcPr>
            <w:tcW w:type="dxa" w:w="26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إدخال قرار البنك الفعلي لكل تسهيل (2026-10-19).</w:t>
            </w:r>
            <w:r>
              <w:rPr>
                <w:rFonts w:ascii="Arial" w:cs="Arial" w:eastAsia="Arial" w:hAnsi="Arial"/>
                <w:b w:val="false"/>
                <w:bCs w:val="false"/>
                <w:sz w:val="18"/>
                <w:szCs w:val="18"/>
                <w:rtl/>
              </w:rPr>
              <w:t xml:space="preserve"> نعم، يُضاف</w:t>
            </w:r>
          </w:p>
        </w:tc>
        <w:tc>
          <w:tcPr>
            <w:tcW w:type="dxa" w:w="46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‎fac.FacilityLenderDecision‎</w:t>
            </w:r>
            <w:r>
              <w:rPr>
                <w:rFonts w:ascii="Arial" w:cs="Arial" w:eastAsia="Arial" w:hAnsi="Arial"/>
                <w:b w:val="false"/>
                <w:bCs w:val="false"/>
                <w:sz w:val="18"/>
                <w:szCs w:val="18"/>
                <w:rtl/>
              </w:rPr>
              <w:t xml:space="preserve"> (ADR 0021): القرار بتاريخه ونفاذه ومستنده (إبقاء، إيقاف الحد غير المسحوب، تخفيض الحد، عدم تجديد، وتغيّر الهامش والرسوم)؛ وآخر قرار نافذ يحل محل التقدير لذلك التسهيل في السيولة والسيناريوهات، والمسحوب فوق الحد الجديد مستحق</w:t>
            </w:r>
          </w:p>
        </w:tc>
        <w:tc>
          <w:tcPr>
            <w:tcW w:type="dxa" w:w="1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FR-FIN-034، BR-FIN-035؛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§10</w:t>
            </w:r>
          </w:p>
        </w:tc>
      </w:tr>
      <w:tr>
        <w:trPr>
          <w:cantSplit/>
        </w:trPr>
        <w:tc>
          <w:tcPr>
            <w:tcW w:type="dxa" w:w="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c>
          <w:tcPr>
            <w:tcW w:type="dxa" w:w="26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النظام للشركة لا للبنك (2026-10-20).</w:t>
            </w:r>
            <w:r>
              <w:rPr>
                <w:rFonts w:ascii="Arial" w:cs="Arial" w:eastAsia="Arial" w:hAnsi="Arial"/>
                <w:b w:val="false"/>
                <w:bCs w:val="false"/>
                <w:sz w:val="18"/>
                <w:szCs w:val="18"/>
                <w:rtl/>
              </w:rPr>
              <w:t xml:space="preserve"> تدرس الشركة فيه تقييمها من قوائمها وقوتها ومخاطرها وتسهيلاتها والمؤثرات الخارجية، فتعرف وضعها قبل البنك، وتعيد هيكلة قوائمها وتصنيف عناصرها قبل اعتمادها النهائي. واعتمد المالك مقترحات الدراسة: يعتمد نسخة العرض المختارة شخص من الإدارة المالية غير معدّها، والإنذار المبكر 6 أشهر قبل التجديد واختبار التعهدات وتعدّله كل شركة، وتقييم الموازنة بعد المراحل أ إلى د؛ والبدء بالمرحلتين أ وب</w:t>
            </w:r>
          </w:p>
        </w:tc>
        <w:tc>
          <w:tcPr>
            <w:tcW w:type="dxa" w:w="46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دراسة </w:t>
            </w:r>
            <w:r>
              <w:rPr>
                <w:rFonts w:ascii="Courier New" w:cs="Courier New" w:eastAsia="Courier New" w:hAnsi="Courier New"/>
                <w:b w:val="false"/>
                <w:bCs w:val="false"/>
                <w:color w:val="1F2937"/>
                <w:sz w:val="16"/>
                <w:szCs w:val="16"/>
                <w:shd w:fill="F1F3F5" w:color="auto" w:val="clear"/>
                <w:rtl/>
              </w:rPr>
              <w:t xml:space="preserve">‎docs/36‎</w:t>
            </w:r>
            <w:r>
              <w:rPr>
                <w:rFonts w:ascii="Arial" w:cs="Arial" w:eastAsia="Arial" w:hAnsi="Arial"/>
                <w:b w:val="false"/>
                <w:bCs w:val="false"/>
                <w:sz w:val="18"/>
                <w:szCs w:val="18"/>
                <w:rtl/>
              </w:rPr>
              <w:t xml:space="preserve">. المرحلة أ: صُححت لغة المنهجية إلى منظور الشركة (معدّ التقييم بدل المحلل، وتوقع تصرف جهات التمويل بدل موقف البنك، وما تبلغ به جهة التمويل بدل قرار البنك، وقوة الضمانات أمام جهة التمويل). المرحلة ب: التقييم التجريبي على القوائم قبل اعتمادها (ADR 0022). المرحلة ج: نسخ العرض البديلة ومقارنتها وتحويل المختارة إلى قائمة مسودة يختارها غير معدّها (ADR 0023). المرحلة د: ملف الجاهزية والجدول الزمني والإنذار المبكر بستة أشهر (ADR 0024). المرحلة هـ: تقييم الموازنة ومقارنتها بالسنة الفعلية (ADR 0025). المرحلة و: التصنيف الذي يبلغ به البنك ومقارنته (ADR 0026)</w:t>
            </w:r>
          </w:p>
        </w:tc>
        <w:tc>
          <w:tcPr>
            <w:tcW w:type="dxa" w:w="1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FR-FIN-035، BR-FIN-036؛ </w:t>
            </w:r>
            <w:r>
              <w:rPr>
                <w:rFonts w:ascii="Courier New" w:cs="Courier New" w:eastAsia="Courier New" w:hAnsi="Courier New"/>
                <w:b w:val="false"/>
                <w:bCs w:val="false"/>
                <w:color w:val="1F2937"/>
                <w:sz w:val="16"/>
                <w:szCs w:val="16"/>
                <w:shd w:fill="F1F3F5" w:color="auto" w:val="clear"/>
                <w:rtl/>
              </w:rPr>
              <w:t xml:space="preserve">‎docs/36‎</w:t>
            </w:r>
          </w:p>
        </w:tc>
      </w:tr>
      <w:tr>
        <w:trPr>
          <w:cantSplit/>
        </w:trPr>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26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قرارات المراجعة المعمارية 4.0 (2026-10-20).</w:t>
            </w:r>
            <w:r>
              <w:rPr>
                <w:rFonts w:ascii="Arial" w:cs="Arial" w:eastAsia="Arial" w:hAnsi="Arial"/>
                <w:b w:val="false"/>
                <w:bCs w:val="false"/>
                <w:sz w:val="18"/>
                <w:szCs w:val="18"/>
                <w:rtl/>
              </w:rPr>
              <w:t xml:space="preserve"> (1) يُضاف دور النظام RK «مسؤول المخاطر»، وظيفة مستقلة عن خط الإعداد والاعتماد، تصدّق التقييم ويصلها الإنذار الأحمر (D1). (2) يُبنى نموذج مخصص الذمم المبسّط بمصفوفة أعمار تقارنه الشركة بمخصصها المسجَّل، ونسب الخسارة الافتراضية تعتمدها الخزينة أو تغيّرها (D4). (3) تُعتمد نصوص رسائل الإنذار الافتراضية، والجهة المخولة بتعديلها لاحقًا أو الإبقاء عليها هي الخزينة (D5). (4) تُبنى البنود 1 و3 و4 و5 من دراسة المراجعة</w:t>
            </w:r>
          </w:p>
        </w:tc>
        <w:tc>
          <w:tcPr>
            <w:tcW w:type="dxa" w:w="46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تجميد الأرصدة والمبالغ المحوَّلة المؤكدة وإعادة فتحها؛ حزمة أدلة التقييم المصدَّق؛ المعايرة في الجاهزية والتصديق؛ إنذار المصدِّقين؛ الدور RK؛ </w:t>
            </w:r>
            <w:r>
              <w:rPr>
                <w:rFonts w:ascii="Courier New" w:cs="Courier New" w:eastAsia="Courier New" w:hAnsi="Courier New"/>
                <w:b w:val="false"/>
                <w:bCs w:val="false"/>
                <w:color w:val="1F2937"/>
                <w:sz w:val="16"/>
                <w:szCs w:val="16"/>
                <w:shd w:fill="F1F3F5" w:color="auto" w:val="clear"/>
                <w:rtl/>
              </w:rPr>
              <w:t xml:space="preserve">‎fin.ReceivableLossRate‎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‎fin.v_ReceivableProvisionCheck‎</w:t>
            </w:r>
            <w:r>
              <w:rPr>
                <w:rFonts w:ascii="Arial" w:cs="Arial" w:eastAsia="Arial" w:hAnsi="Arial"/>
                <w:b w:val="false"/>
                <w:bCs w:val="false"/>
                <w:sz w:val="18"/>
                <w:szCs w:val="18"/>
                <w:rtl/>
              </w:rPr>
              <w:t xml:space="preserve"> وحزمة FIN.PROVISION؛ حزمة NTF.BASE معتمدة افتراضًا</w:t>
            </w:r>
          </w:p>
        </w:tc>
        <w:tc>
          <w:tcPr>
            <w:tcW w:type="dxa" w:w="1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0030؛ </w:t>
            </w:r>
            <w:r>
              <w:rPr>
                <w:rFonts w:ascii="Courier New" w:cs="Courier New" w:eastAsia="Courier New" w:hAnsi="Courier New"/>
                <w:b w:val="false"/>
                <w:bCs w:val="false"/>
                <w:color w:val="1F2937"/>
                <w:sz w:val="16"/>
                <w:szCs w:val="16"/>
                <w:shd w:fill="F1F3F5" w:color="auto" w:val="clear"/>
                <w:rtl/>
              </w:rPr>
              <w:t xml:space="preserve">‎docs/38‎</w:t>
            </w:r>
            <w:r>
              <w:rPr>
                <w:rFonts w:ascii="Arial" w:cs="Arial" w:eastAsia="Arial" w:hAnsi="Arial"/>
                <w:b w:val="false"/>
                <w:bCs w:val="false"/>
                <w:sz w:val="18"/>
                <w:szCs w:val="18"/>
                <w:rtl/>
              </w:rPr>
              <w:t xml:space="preserve">؛ FR-FIN-045 إلى FR-FIN-048؛ BR-FIN-046 إلى BR-FIN-049؛ CA27 إلى CA30</w:t>
            </w:r>
          </w:p>
        </w:tc>
      </w:tr>
      <w:tr>
        <w:trPr>
          <w:cantSplit/>
        </w:trPr>
        <w:tc>
          <w:tcPr>
            <w:tcW w:type="dxa" w:w="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c>
          <w:tcPr>
            <w:tcW w:type="dxa" w:w="26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أدوار الحزمة CORE.ROLES (2026-10-21).</w:t>
            </w:r>
            <w:r>
              <w:rPr>
                <w:rFonts w:ascii="Arial" w:cs="Arial" w:eastAsia="Arial" w:hAnsi="Arial"/>
                <w:b w:val="false"/>
                <w:bCs w:val="false"/>
                <w:sz w:val="18"/>
                <w:szCs w:val="18"/>
                <w:rtl/>
              </w:rPr>
              <w:t xml:space="preserve"> (1) يأخذ دورا المحلل المالي FA ومسؤول المخاطر RK تفضيلات الإشعار </w:t>
            </w:r>
            <w:r>
              <w:rPr>
                <w:rFonts w:ascii="Courier New" w:cs="Courier New" w:eastAsia="Courier New" w:hAnsi="Courier New"/>
                <w:b w:val="false"/>
                <w:bCs w:val="false"/>
                <w:color w:val="1F2937"/>
                <w:sz w:val="16"/>
                <w:szCs w:val="16"/>
                <w:shd w:fill="F1F3F5" w:color="auto" w:val="clear"/>
                <w:rtl/>
              </w:rPr>
              <w:t xml:space="preserve">‎ntf.prefs‎</w:t>
            </w:r>
            <w:r>
              <w:rPr>
                <w:rFonts w:ascii="Arial" w:cs="Arial" w:eastAsia="Arial" w:hAnsi="Arial"/>
                <w:b w:val="false"/>
                <w:bCs w:val="false"/>
                <w:sz w:val="18"/>
                <w:szCs w:val="18"/>
                <w:rtl/>
              </w:rPr>
              <w:t xml:space="preserve">، لأنهما يستلمان الإشعارات، ومنها الإنذار الأحمر لـ RK. (2) الحل المعياري للخلية الملتبسة: تُصحَّح المصفوفة في المصدر بقيمة لكل رمز، ويرفض المولّد قيمة ◐ واحدة لرمزين، ولا يُستثنى شيء في المولّد</w:t>
            </w:r>
          </w:p>
        </w:tc>
        <w:tc>
          <w:tcPr>
            <w:tcW w:type="dxa" w:w="46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عمودا FA وRK في مصفوفة المواصفة 13؛ والصف 14 منها والصف 28 من المواصفة 14 بقيمة لكل رمز؛ والحزمة 393 ربطًا</w:t>
            </w:r>
          </w:p>
        </w:tc>
        <w:tc>
          <w:tcPr>
            <w:tcW w:type="dxa" w:w="1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0035؛ </w:t>
            </w:r>
            <w:r>
              <w:rPr>
                <w:rFonts w:ascii="Courier New" w:cs="Courier New" w:eastAsia="Courier New" w:hAnsi="Courier New"/>
                <w:b w:val="false"/>
                <w:bCs w:val="false"/>
                <w:color w:val="1F2937"/>
                <w:sz w:val="16"/>
                <w:szCs w:val="16"/>
                <w:shd w:fill="F1F3F5" w:color="auto" w:val="clear"/>
                <w:rtl/>
              </w:rPr>
              <w:t xml:space="preserve">‎docs/39‎</w:t>
            </w:r>
            <w:r>
              <w:rPr>
                <w:rFonts w:ascii="Arial" w:cs="Arial" w:eastAsia="Arial" w:hAnsi="Arial"/>
                <w:b w:val="false"/>
                <w:bCs w:val="false"/>
                <w:sz w:val="18"/>
                <w:szCs w:val="18"/>
                <w:rtl/>
              </w:rPr>
              <w:t xml:space="preserve"> §6؛ CR1 إلى CR6</w:t>
            </w:r>
          </w:p>
        </w:tc>
      </w:tr>
      <w:tr>
        <w:trPr>
          <w:cantSplit/>
        </w:trPr>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c>
          <w:tcPr>
            <w:tcW w:type="dxa" w:w="26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بدء المرحلة الثانية: بناء التطبيق (2026-10-21).</w:t>
            </w:r>
            <w:r>
              <w:rPr>
                <w:rFonts w:ascii="Arial" w:cs="Arial" w:eastAsia="Arial" w:hAnsi="Arial"/>
                <w:b w:val="false"/>
                <w:bCs w:val="false"/>
                <w:sz w:val="18"/>
                <w:szCs w:val="18"/>
                <w:rtl/>
              </w:rPr>
              <w:t xml:space="preserve"> الواجهة الأمامية React مع TypeScript، والدفعة الأولى S0 كاملة: الدخول بكلمة المرور وMFA وArgon2id، وربط الجلسة، والمستخدمون والأدوار ونطاق الشركات، والإعدادات والترقيم، وسجل التدقيق، وتهيئة المشترك ولوحة المشغّل، وعامل المهام الخلفية، واختبارات التكامل على قاعدة البيانات الحقيقية وCI؛ ثم S1 وما بعدها بالترتيب. واعتُمدت الافتراضات الموثقة للأسئلة المفتوحة في موجز S0: صفحة محايدة للعنوان الفرعي المجهول وللمشترك المؤرشف فقط (Q-1)، ولوحة المشغّل على </w:t>
            </w:r>
            <w:r>
              <w:rPr>
                <w:rFonts w:ascii="Courier New" w:cs="Courier New" w:eastAsia="Courier New" w:hAnsi="Courier New"/>
                <w:b w:val="false"/>
                <w:bCs w:val="false"/>
                <w:color w:val="1F2937"/>
                <w:sz w:val="16"/>
                <w:szCs w:val="16"/>
                <w:shd w:fill="F1F3F5" w:color="auto" w:val="clear"/>
                <w:rtl/>
              </w:rPr>
              <w:t xml:space="preserve">‎admin.bankfas.com‎</w:t>
            </w:r>
            <w:r>
              <w:rPr>
                <w:rFonts w:ascii="Arial" w:cs="Arial" w:eastAsia="Arial" w:hAnsi="Arial"/>
                <w:b w:val="false"/>
                <w:bCs w:val="false"/>
                <w:sz w:val="18"/>
                <w:szCs w:val="18"/>
                <w:rtl/>
              </w:rPr>
              <w:t xml:space="preserve"> (Q-2)، وجلسات الدعم تُعرض في لوحة المشغّل (Q-3)، ولا يُكتب حدث MFA_VERIFIED في S0 (Q-4)، وقناة إشعار S0 هي البريد وحده (Q-5)؛ ومزوّد مفاتيح محلي للتطوير والاختبار إلى أن يُختار منتج KMS (DQ-S02-1)</w:t>
            </w:r>
          </w:p>
        </w:tc>
        <w:tc>
          <w:tcPr>
            <w:tcW w:type="dxa" w:w="46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الهيكل: .NET 10 (واجهة API وعامل مهام ومكتبتا Core وData) وReact 19 مع TypeScript وVite. ونواة الأمن: Argon2id بصيغة PHC مطابقة للتنفيذ المرجعي، وTOTP بمتجهات RFC 6238، والغلاف AES-256-GCM. وسُدّت ثغرات القاعدة GAP-1 وGAP-2 وGAP-3 وGAP-4 وGAP-7 وGAP-8 وGAP-10 وGAP-13. ومسار الخروج من S0 (AC-PLT-5) يمرّ في اختبار تكامل واحد على القاعدة</w:t>
            </w:r>
          </w:p>
        </w:tc>
        <w:tc>
          <w:tcPr>
            <w:tcW w:type="dxa" w:w="1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0040؛ </w:t>
            </w:r>
            <w:r>
              <w:rPr>
                <w:rFonts w:ascii="Courier New" w:cs="Courier New" w:eastAsia="Courier New" w:hAnsi="Courier New"/>
                <w:b w:val="false"/>
                <w:bCs w:val="false"/>
                <w:color w:val="1F2937"/>
                <w:sz w:val="16"/>
                <w:szCs w:val="16"/>
                <w:shd w:fill="F1F3F5" w:color="auto" w:val="clear"/>
                <w:rtl/>
              </w:rPr>
              <w:t xml:space="preserve">‎docs/42‎</w:t>
            </w:r>
          </w:p>
        </w:tc>
      </w:tr>
      <w:tr>
        <w:trPr>
          <w:cantSplit/>
        </w:trPr>
        <w:tc>
          <w:tcPr>
            <w:tcW w:type="dxa" w:w="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w:t>
            </w:r>
          </w:p>
        </w:tc>
        <w:tc>
          <w:tcPr>
            <w:tcW w:type="dxa" w:w="26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بناء الشريحة S1 (2026-10-22).</w:t>
            </w:r>
            <w:r>
              <w:rPr>
                <w:rFonts w:ascii="Arial" w:cs="Arial" w:eastAsia="Arial" w:hAnsi="Arial"/>
                <w:b w:val="false"/>
                <w:bCs w:val="false"/>
                <w:sz w:val="18"/>
                <w:szCs w:val="18"/>
                <w:rtl/>
              </w:rPr>
              <w:t xml:space="preserve"> «ابدأ ببناء S1»، ثم «تابع البناء بعد انتهاء الدراسة». بُنيت على افتراضات الموجز للأسئلة المفتوحة، و</w:t>
            </w:r>
            <w:r>
              <w:rPr>
                <w:rFonts w:ascii="Arial" w:cs="Arial" w:eastAsia="Arial" w:hAnsi="Arial"/>
                <w:b/>
                <w:bCs/>
                <w:sz w:val="18"/>
                <w:szCs w:val="18"/>
                <w:rtl/>
              </w:rPr>
              <w:t xml:space="preserve">اعتمدها المالك في 2026-10-22</w:t>
            </w:r>
            <w:r>
              <w:rPr>
                <w:rFonts w:ascii="Arial" w:cs="Arial" w:eastAsia="Arial" w:hAnsi="Arial"/>
                <w:b w:val="false"/>
                <w:bCs w:val="false"/>
                <w:sz w:val="18"/>
                <w:szCs w:val="18"/>
                <w:rtl/>
              </w:rPr>
              <w:t xml:space="preserve"> مع طلب بدء S1-ب: فاحص ClamAV (OQ-1)، ورمز الطرف </w:t>
            </w:r>
            <w:r>
              <w:rPr>
                <w:rFonts w:ascii="Courier New" w:cs="Courier New" w:eastAsia="Courier New" w:hAnsi="Courier New"/>
                <w:b w:val="false"/>
                <w:bCs w:val="false"/>
                <w:color w:val="1F2937"/>
                <w:sz w:val="16"/>
                <w:szCs w:val="16"/>
                <w:shd w:fill="F1F3F5" w:color="auto" w:val="clear"/>
                <w:rtl/>
              </w:rPr>
              <w:t xml:space="preserve">‎P{seq:000000}‎</w:t>
            </w:r>
            <w:r>
              <w:rPr>
                <w:rFonts w:ascii="Arial" w:cs="Arial" w:eastAsia="Arial" w:hAnsi="Arial"/>
                <w:b w:val="false"/>
                <w:bCs w:val="false"/>
                <w:sz w:val="18"/>
                <w:szCs w:val="18"/>
                <w:rtl/>
              </w:rPr>
              <w:t xml:space="preserve"> (OQ-2)، وقاعدة انتهاء لكل نوع عام (OQ-3)، والبحث برقم الهوية بالنوع والدولة (OQ-4)، ومزامنة أسماء الجهة المرآة فقط (OQ-6)، وبلا صور مصغّرة (OQ-7)، وفئات التدقيق (OQ-8)، والمنشئ يضعه التطبيق (S1-GAP-12)، وكشف رقم الحساب حدث تدقيق (S1-GAP-15)، والتفضيل فوري أو متوقف إلى أن تُبنى الملخصات</w:t>
            </w:r>
          </w:p>
        </w:tc>
        <w:tc>
          <w:tcPr>
            <w:tcW w:type="dxa" w:w="46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الكتالوجات وحزمها، ومخزن المستندات، والشركات، والأطراف، والبنوك والعلاقات ومعالج البنك، والحسابات، وأسعار الأساس، والإشعارات وتنبيهات الانتهاء والأحداث الأمنية، وحزمة NTF.BASE الإصدار 2. ومسارا الخروج AC-INS-1 وAC-ORG-6 يمرّان في اختبارات التكامل وفي المتصفح</w:t>
            </w:r>
          </w:p>
        </w:tc>
        <w:tc>
          <w:tcPr>
            <w:tcW w:type="dxa" w:w="1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0041؛ </w:t>
            </w:r>
            <w:r>
              <w:rPr>
                <w:rFonts w:ascii="Courier New" w:cs="Courier New" w:eastAsia="Courier New" w:hAnsi="Courier New"/>
                <w:b w:val="false"/>
                <w:bCs w:val="false"/>
                <w:color w:val="1F2937"/>
                <w:sz w:val="16"/>
                <w:szCs w:val="16"/>
                <w:shd w:fill="F1F3F5" w:color="auto" w:val="clear"/>
                <w:rtl/>
              </w:rPr>
              <w:t xml:space="preserve">‎docs/43‎</w:t>
            </w:r>
          </w:p>
        </w:tc>
      </w:tr>
      <w:tr>
        <w:trPr>
          <w:cantSplit/>
        </w:trPr>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39</w:t>
            </w:r>
          </w:p>
        </w:tc>
        <w:tc>
          <w:tcPr>
            <w:tcW w:type="dxa" w:w="26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بناء الشريحة S1-ب (2026-10-22).</w:t>
            </w:r>
            <w:r>
              <w:rPr>
                <w:rFonts w:ascii="Arial" w:cs="Arial" w:eastAsia="Arial" w:hAnsi="Arial"/>
                <w:b w:val="false"/>
                <w:bCs w:val="false"/>
                <w:sz w:val="18"/>
                <w:szCs w:val="18"/>
                <w:rtl/>
              </w:rPr>
              <w:t xml:space="preserve"> «أعتمد الافتراضات وابدأ ببناء S1-ب»، ثم «تابع البناء بعد انتهاء الدراسة». بُنيت على افتراضات موجز S1-ب للأسئلة OQ-1 إلى OQ-19. </w:t>
            </w:r>
            <w:r>
              <w:rPr>
                <w:rFonts w:ascii="Arial" w:cs="Arial" w:eastAsia="Arial" w:hAnsi="Arial"/>
                <w:b/>
                <w:bCs/>
                <w:sz w:val="18"/>
                <w:szCs w:val="18"/>
                <w:rtl/>
              </w:rPr>
              <w:t xml:space="preserve">اعتمد المالك في 2026-10-22 أربعة منها:</w:t>
            </w:r>
            <w:r>
              <w:rPr>
                <w:rFonts w:ascii="Arial" w:cs="Arial" w:eastAsia="Arial" w:hAnsi="Arial"/>
                <w:b w:val="false"/>
                <w:bCs w:val="false"/>
                <w:sz w:val="18"/>
                <w:szCs w:val="18"/>
                <w:rtl/>
              </w:rPr>
              <w:t xml:space="preserve"> تغيير البنك في منحة نافذة تغيير جوهري (OQ-6)، والمنح النافذة وحدها في المقارنة (OQ-9)، والمدقق يقرأ التعارضات ولا يقرّها (OQ-10)، وإغلاق العلاقة يسحب مفوَّضيها الساريين بعد التأكيد (OQ-16). </w:t>
            </w:r>
            <w:r>
              <w:rPr>
                <w:rFonts w:ascii="Arial" w:cs="Arial" w:eastAsia="Arial" w:hAnsi="Arial"/>
                <w:b/>
                <w:bCs/>
                <w:sz w:val="18"/>
                <w:szCs w:val="18"/>
                <w:rtl/>
              </w:rPr>
              <w:t xml:space="preserve">وبقية الافتراضات بانتظار اعتماده:</w:t>
            </w:r>
            <w:r>
              <w:rPr>
                <w:rFonts w:ascii="Arial" w:cs="Arial" w:eastAsia="Arial" w:hAnsi="Arial"/>
                <w:b w:val="false"/>
                <w:bCs w:val="false"/>
                <w:sz w:val="18"/>
                <w:szCs w:val="18"/>
                <w:rtl/>
              </w:rPr>
              <w:t xml:space="preserve"> معنى نسبة المسار غير المباشر (OQ-1)، والتصحيح الرجعي بالصلاحية القائمة وسبب (OQ-2)، وتعريف الشغور (OQ-3)، وإغلاق الهيئة ونقل أعضائها (OQ-4)، ومعنى الممثل (OQ-5)، والبصمة وترتيب الرموز (OQ-7 وOQ-8)، والإشعار الفوري (OQ-11)، ومسار الخروج (OQ-12)، وقرار المجلس في AC-ACC-4 (OQ-13)، وتفعيل المفوَّض بوثيقة نظيفة (OQ-14)، وموافقة مدير الخزينة على الاستثناء (OQ-15)، والمستندات الأساسية (OQ-17)، واقتراح المستفيد الحقيقي (OQ-18)، وإخفاء الهيكل عن الطالب (OQ-19)</w:t>
            </w:r>
          </w:p>
        </w:tc>
        <w:tc>
          <w:tcPr>
            <w:tcW w:type="dxa" w:w="46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الملكية والهيئات والمنح والمفوَّضون وصلاحياتهم ومقارنة الحوكمة؛ الحزمتان NTF.BASE v3 وCORE.EXPIRY v2؛ السكربت 061 وتعديل AuthorityConflict. ومسار الخروج AC-ACC-3 مع AC-ACC-7 يمرّ في اختبار تكامل، ومعه AC-ORG-1 وAC-ORG-2 وAC-ACC-2 وAC-ACC-4</w:t>
            </w:r>
          </w:p>
        </w:tc>
        <w:tc>
          <w:tcPr>
            <w:tcW w:type="dxa" w:w="1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0042؛ </w:t>
            </w:r>
            <w:r>
              <w:rPr>
                <w:rFonts w:ascii="Courier New" w:cs="Courier New" w:eastAsia="Courier New" w:hAnsi="Courier New"/>
                <w:b w:val="false"/>
                <w:bCs w:val="false"/>
                <w:color w:val="1F2937"/>
                <w:sz w:val="16"/>
                <w:szCs w:val="16"/>
                <w:shd w:fill="F1F3F5" w:color="auto" w:val="clear"/>
                <w:rtl/>
              </w:rPr>
              <w:t xml:space="preserve">‎docs/44‎</w:t>
            </w:r>
          </w:p>
        </w:tc>
      </w:tr>
      <w:tr>
        <w:trPr>
          <w:cantSplit/>
        </w:trPr>
        <w:tc>
          <w:tcPr>
            <w:tcW w:type="dxa" w:w="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26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بناء الشريحة S2 (2026-10-22).</w:t>
            </w:r>
            <w:r>
              <w:rPr>
                <w:rFonts w:ascii="Arial" w:cs="Arial" w:eastAsia="Arial" w:hAnsi="Arial"/>
                <w:b w:val="false"/>
                <w:bCs w:val="false"/>
                <w:sz w:val="18"/>
                <w:szCs w:val="18"/>
                <w:rtl/>
              </w:rPr>
              <w:t xml:space="preserve"> «ابدأ ببناء S2»، ثم «تابع البناء بعد انتهاء الدراسة»، ثم «اكمل». بُنيت على افتراضات موجز S2 للأسئلة OQ-1 إلى OQ-17، </w:t>
            </w:r>
            <w:r>
              <w:rPr>
                <w:rFonts w:ascii="Arial" w:cs="Arial" w:eastAsia="Arial" w:hAnsi="Arial"/>
                <w:b/>
                <w:bCs/>
                <w:sz w:val="18"/>
                <w:szCs w:val="18"/>
                <w:rtl/>
              </w:rPr>
              <w:t xml:space="preserve">واعتمدها المالك كلها في 2026-10-23 («أعتمد الافتراضات وابدأ»):</w:t>
            </w:r>
            <w:r>
              <w:rPr>
                <w:rFonts w:ascii="Arial" w:cs="Arial" w:eastAsia="Arial" w:hAnsi="Arial"/>
                <w:b w:val="false"/>
                <w:bCs w:val="false"/>
                <w:sz w:val="18"/>
                <w:szCs w:val="18"/>
                <w:rtl/>
              </w:rPr>
              <w:t xml:space="preserve"> اختبار المئة حجز في S2 (OQ-1)، وسنة رقم التسهيل (OQ-2)، وتواريخ الضمانات تنبيهات لا بنود أجندة (OQ-3)، والحالة اليدوية للتعهد الوصفي (OQ-4)، واعتماد قوالب الصيغ باسم النظام (OQ-5)، ومعرفة المحررين من التدقيق لفصل المهام (OQ-6)، وتوليد الأجندة داخل الاعتماد (OQ-7)، وعتبة «يقترب» 90 يومًا (OQ-8)، ومهل التنبيه في التسهيل تغلب (OQ-9)، والاستخدام اليدوي يحذّر ولا يُرفض (OQ-10)، وربط الضمان عبر مراجعة التسهيل (OQ-11)، ومستندات الضمان من أنواع التسهيل أو الطرف (OQ-12)، والمتاح من المعتمد وحده (OQ-13)، وأم القرى (OQ-14)، وموعد استبدال السابق (OQ-15)، وحدود S2 وS2-ب في المخالفات (OQ-16)، ومعايير الخروج (OQ-17). فصار الخروج في DOC-B02 §10 نافذًا</w:t>
            </w:r>
          </w:p>
        </w:tc>
        <w:tc>
          <w:tcPr>
            <w:tcW w:type="dxa" w:w="46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 والحدود والمتاح ونواة الحجز والتعرفة والتسعير والضمانات والكفلاء والالتزامات والمخالفات والشروط القابلة للمقارنة؛ الحزم CMP.TERMS v1 وFIN.FORMULAS v1 وCORE.NUMBERING v2 وCORE.EXPIRY v3 وNTF.BASE v4 وPTY.KYC v1؛ السكربت 062. ومسار الخروج AC-FAC-11 (الاتفاقيات الأربع، حزم DS-AGR الاصطناعية) وAC-FAC-12 (مئة حجز متزامن) وNFR-PERF-01 تمرّ في اختبارات تكامل، ومعها AC-FAC-1 و2 و4 و5 و6 و8 و10</w:t>
            </w:r>
          </w:p>
        </w:tc>
        <w:tc>
          <w:tcPr>
            <w:tcW w:type="dxa" w:w="1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0043؛ </w:t>
            </w:r>
            <w:r>
              <w:rPr>
                <w:rFonts w:ascii="Courier New" w:cs="Courier New" w:eastAsia="Courier New" w:hAnsi="Courier New"/>
                <w:b w:val="false"/>
                <w:bCs w:val="false"/>
                <w:color w:val="1F2937"/>
                <w:sz w:val="16"/>
                <w:szCs w:val="16"/>
                <w:shd w:fill="F1F3F5" w:color="auto" w:val="clear"/>
                <w:rtl/>
              </w:rPr>
              <w:t xml:space="preserve">‎docs/45‎</w:t>
            </w:r>
          </w:p>
        </w:tc>
      </w:tr>
      <w:tr>
        <w:trPr>
          <w:cantSplit/>
        </w:trPr>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w:t>
            </w:r>
          </w:p>
        </w:tc>
        <w:tc>
          <w:tcPr>
            <w:tcW w:type="dxa" w:w="26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بناء الشريحة S2-ب (2026-10-23).</w:t>
            </w:r>
            <w:r>
              <w:rPr>
                <w:rFonts w:ascii="Arial" w:cs="Arial" w:eastAsia="Arial" w:hAnsi="Arial"/>
                <w:b w:val="false"/>
                <w:bCs w:val="false"/>
                <w:sz w:val="18"/>
                <w:szCs w:val="18"/>
                <w:rtl/>
              </w:rPr>
              <w:t xml:space="preserve"> «أعتمد الافتراضات وابدأ». اعتمد المالك افتراضات موجز S2-ب السبعة عشر كلها: حزمة البنود بـ157 بندًا تعرض الشاشة منها 51 (OQ-1)، ومحرك الحساب ومحلل الصيغ في التطبيق (OQ-2)، وأحدث نسخة معتمدة من الصيغة ونسخ القالب المستعمل إلى التسهيل (OQ-3)، وتوليد الاختبارات حتى 24 شهرًا أو انتهاء التسهيل (OQ-4)، وترتيب المهام اليومية (OQ-5)، والإنذار المبكر مخالفةً بدرجة إنذار داخل التطبيق (OQ-6)، وتكرار المخالفة يعلّمها للمراجعة ولا يفتح ثانية (OQ-7)، وقياس تعهدات الإيراد والتدفقات على فترة الاختبار (OQ-8)، وطريقة التجميع إلزامية لمتوسط الرصيد (OQ-9)، والبيانات المالية تحت وحدة التعهدات (OQ-10)، والخروج AC-FAC-7 ولوحة الامتثال (OQ-11)، وموظف الخزينة لا يرى القوائم (OQ-12)، وإعادة التقييم بعد الاعتماد عبر صندوق الصادر (OQ-13)، وأشهر الحساب بلا تاريخ فتح (OQ-14)، و«بيانات ناقصة» بعد الموعد ثم أسبوعيًا (OQ-15)، والتقييم الائتماني داخل الطلب (OQ-16)، وتسهيل الخروج C مع حزمة DS-FIN-C (OQ-17). </w:t>
            </w:r>
            <w:r>
              <w:rPr>
                <w:rFonts w:ascii="Arial" w:cs="Arial" w:eastAsia="Arial" w:hAnsi="Arial"/>
                <w:b/>
                <w:bCs/>
                <w:sz w:val="18"/>
                <w:szCs w:val="18"/>
                <w:rtl/>
              </w:rPr>
              <w:t xml:space="preserve">بُنيت الدفعات A إلى H في 2026-10-23</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‎docs/46‎</w:t>
            </w:r>
            <w:r>
              <w:rPr>
                <w:rFonts w:ascii="Arial" w:cs="Arial" w:eastAsia="Arial" w:hAnsi="Arial"/>
                <w:b w:val="false"/>
                <w:bCs w:val="false"/>
                <w:sz w:val="18"/>
                <w:szCs w:val="18"/>
                <w:rtl/>
              </w:rPr>
              <w:t xml:space="preserve">، ADR 0044) ونجح الخروج AC-FAC-7 وAC-FAC-13. والانحرافات الاثنا عشر في </w:t>
            </w:r>
            <w:r>
              <w:rPr>
                <w:rFonts w:ascii="Courier New" w:cs="Courier New" w:eastAsia="Courier New" w:hAnsi="Courier New"/>
                <w:b w:val="false"/>
                <w:bCs w:val="false"/>
                <w:color w:val="1F2937"/>
                <w:sz w:val="16"/>
                <w:szCs w:val="16"/>
                <w:shd w:fill="F1F3F5" w:color="auto" w:val="clear"/>
                <w:rtl/>
              </w:rPr>
              <w:t xml:space="preserve">‎docs/46‎</w:t>
            </w:r>
            <w:r>
              <w:rPr>
                <w:rFonts w:ascii="Arial" w:cs="Arial" w:eastAsia="Arial" w:hAnsi="Arial"/>
                <w:b w:val="false"/>
                <w:bCs w:val="false"/>
                <w:sz w:val="18"/>
                <w:szCs w:val="18"/>
                <w:rtl/>
              </w:rPr>
              <w:t xml:space="preserve"> §5 بانتظار اطلاع المالك</w:t>
            </w:r>
          </w:p>
        </w:tc>
        <w:tc>
          <w:tcPr>
            <w:tcW w:type="dxa" w:w="46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المالية والأرصدة الشهرية والتدفقات ومكتبة الصيغ ومحرك اختبار التعهدات ومخالفاتها، وتغليف التقييم الائتماني والجاهزية، ولوحة الامتثال الكاملة</w:t>
            </w:r>
          </w:p>
        </w:tc>
        <w:tc>
          <w:tcPr>
            <w:tcW w:type="dxa" w:w="1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مبني؛ الانحرافات للاطلاع</w:t>
            </w:r>
          </w:p>
        </w:tc>
      </w:tr>
      <w:tr>
        <w:trPr>
          <w:cantSplit/>
        </w:trPr>
        <w:tc>
          <w:tcPr>
            <w:tcW w:type="dxa" w:w="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26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بناء الشريحة S3 (2026-10-23).</w:t>
            </w:r>
            <w:r>
              <w:rPr>
                <w:rFonts w:ascii="Arial" w:cs="Arial" w:eastAsia="Arial" w:hAnsi="Arial"/>
                <w:b w:val="false"/>
                <w:bCs w:val="false"/>
                <w:sz w:val="18"/>
                <w:szCs w:val="18"/>
                <w:rtl/>
              </w:rPr>
              <w:t xml:space="preserve"> «ثم اكمل فورًا بقية النظام» بعد تقرير الخبير. بُنيت على افتراضات موجز S3 للأسئلة OQ-1 إلى OQ-19، </w:t>
            </w:r>
            <w:r>
              <w:rPr>
                <w:rFonts w:ascii="Arial" w:cs="Arial" w:eastAsia="Arial" w:hAnsi="Arial"/>
                <w:b/>
                <w:bCs/>
                <w:sz w:val="18"/>
                <w:szCs w:val="18"/>
                <w:rtl/>
              </w:rPr>
              <w:t xml:space="preserve">وهي بانتظار اعتماد المالك</w:t>
            </w:r>
            <w:r>
              <w:rPr>
                <w:rFonts w:ascii="Arial" w:cs="Arial" w:eastAsia="Arial" w:hAnsi="Arial"/>
                <w:b w:val="false"/>
                <w:bCs w:val="false"/>
                <w:sz w:val="18"/>
                <w:szCs w:val="18"/>
                <w:rtl/>
              </w:rPr>
              <w:t xml:space="preserve"> (ملخصها في </w:t>
            </w:r>
            <w:r>
              <w:rPr>
                <w:rFonts w:ascii="Courier New" w:cs="Courier New" w:eastAsia="Courier New" w:hAnsi="Courier New"/>
                <w:b w:val="false"/>
                <w:bCs w:val="false"/>
                <w:color w:val="1F2937"/>
                <w:sz w:val="16"/>
                <w:szCs w:val="16"/>
                <w:shd w:fill="F1F3F5" w:color="auto" w:val="clear"/>
                <w:rtl/>
              </w:rPr>
              <w:t xml:space="preserve">‎docs/48‎</w:t>
            </w:r>
            <w:r>
              <w:rPr>
                <w:rFonts w:ascii="Arial" w:cs="Arial" w:eastAsia="Arial" w:hAnsi="Arial"/>
                <w:b w:val="false"/>
                <w:bCs w:val="false"/>
                <w:sz w:val="18"/>
                <w:szCs w:val="18"/>
                <w:rtl/>
              </w:rPr>
              <w:t xml:space="preserve"> §4)، ومنها: المحرك في التطبيق (OQ-1)، ورفض الإصدار فوق المحجوز (OQ-3)، ورقم التعديل من البنك (OQ-4)، وتحرير الحجز عند الرفض والإلغاء (OQ-6)، وفصل المهام عند الحجز (OQ-9)، ومواعيد المهام (OQ-12)، والخروج AC-REQ-1 وAC-WFL-3 وAC-LCI-1 (OQ-19). </w:t>
            </w:r>
            <w:r>
              <w:rPr>
                <w:rFonts w:ascii="Arial" w:cs="Arial" w:eastAsia="Arial" w:hAnsi="Arial"/>
                <w:b/>
                <w:bCs/>
                <w:sz w:val="18"/>
                <w:szCs w:val="18"/>
                <w:rtl/>
              </w:rPr>
              <w:t xml:space="preserve">بُنيت الدفعات A إلى D والنواة من E وF وG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‎docs/48‎</w:t>
            </w:r>
            <w:r>
              <w:rPr>
                <w:rFonts w:ascii="Arial" w:cs="Arial" w:eastAsia="Arial" w:hAnsi="Arial"/>
                <w:b w:val="false"/>
                <w:bCs w:val="false"/>
                <w:sz w:val="18"/>
                <w:szCs w:val="18"/>
                <w:rtl/>
              </w:rPr>
              <w:t xml:space="preserve">، ADR 0045)، ونجح AC-REQ-1 وAC-WFL-3. وما بقي في </w:t>
            </w:r>
            <w:r>
              <w:rPr>
                <w:rFonts w:ascii="Courier New" w:cs="Courier New" w:eastAsia="Courier New" w:hAnsi="Courier New"/>
                <w:b w:val="false"/>
                <w:bCs w:val="false"/>
                <w:color w:val="1F2937"/>
                <w:sz w:val="16"/>
                <w:szCs w:val="16"/>
                <w:shd w:fill="F1F3F5" w:color="auto" w:val="clear"/>
                <w:rtl/>
              </w:rPr>
              <w:t xml:space="preserve">‎docs/48‎</w:t>
            </w:r>
            <w:r>
              <w:rPr>
                <w:rFonts w:ascii="Arial" w:cs="Arial" w:eastAsia="Arial" w:hAnsi="Arial"/>
                <w:b w:val="false"/>
                <w:bCs w:val="false"/>
                <w:sz w:val="18"/>
                <w:szCs w:val="18"/>
                <w:rtl/>
              </w:rPr>
              <w:t xml:space="preserve"> §5</w:t>
            </w:r>
          </w:p>
        </w:tc>
        <w:tc>
          <w:tcPr>
            <w:tcW w:type="dxa" w:w="46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سير العمل والطلبات، وخدمات التسهيلات، والاعتماد المستندي للمشتريات من شروطه إلى تعديله وإغلاقه</w:t>
            </w:r>
          </w:p>
        </w:tc>
        <w:tc>
          <w:tcPr>
            <w:tcW w:type="dxa" w:w="1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مبني جزئيًا؛ الافتراضات بانتظار الاعتماد</w:t>
            </w:r>
          </w:p>
        </w:tc>
      </w:tr>
    </w:tbl>
    <w:p>
      <w:pPr>
        <w:bidi/>
        <w:spacing w:after="120" w:before="0"/>
      </w:pPr>
    </w:p>
    <w:p>
      <w:pPr>
        <w:pStyle w:val="Heading1"/>
        <w:bidi/>
      </w:pPr>
      <w:bookmarkStart w:name="_sec6" w:id="6"/>
      <w:r>
        <w:rPr>
          <w:rFonts w:ascii="Arial" w:cs="Arial" w:eastAsia="Arial" w:hAnsi="Arial"/>
          <w:b/>
          <w:bCs/>
          <w:color w:val="1F3A5F"/>
          <w:sz w:val="32"/>
          <w:szCs w:val="32"/>
          <w:rtl/>
        </w:rPr>
        <w:t xml:space="preserve">2. بنود مفتوحة في سجل البنود تحتاج قرارك</w:t>
      </w:r>
      <w:bookmarkEnd w:id="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082"/>
        <w:gridCol w:w="1233"/>
        <w:gridCol w:w="5549"/>
      </w:tblGrid>
      <w:tr>
        <w:trPr>
          <w:cantSplit/>
          <w:tblHeader/>
        </w:trPr>
        <w:tc>
          <w:tcPr>
            <w:tcW w:type="dxa" w:w="30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المسألة</w:t>
            </w:r>
          </w:p>
        </w:tc>
        <w:tc>
          <w:tcPr>
            <w:tcW w:type="dxa" w:w="55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O-06</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مواد UCP 600 لم تُطابق على النص الرسمي</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 المالك المقترح (2026-10-19، القرار 31): توفير نسخة مرخّصة من نص ICC ليطابقها مختص؛ يبقى التنفيذ</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O-07</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الأسئلة المفتوحة التي تعمل بقيم افتراضية</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 المالك الافتراضيات الـ148 الباقية (2026-10-19، القرار 31)؛ الأسئلة الـ155 محسومة</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الترقيم بلا فجوات</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10 أعلاه؛ منفّذ (ADR 0005)</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المشترك المعلّق</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1 أعلاه</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O-19</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تدقيق بلا مشترك من اتصال مشترك</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تُرفض لغير المنصة (DQ-S01-5)</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O-20 إلى O-22</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مخاطر متبقية منخفضة</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24 أعلاه</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مخاطر داخل المشترك بعد الدخول الجديد</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3 أعلاه</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O-03</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المقرض بعد اعتماد التسهيل</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 المالك المقترح (2026-10-19، القرار 31): عبر مراجعة تصحيح فقط، والقادح حارس أخير (DQ-F13-7)</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O-05</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متى يجب اكتمال صفوف رسوم الاعتماد المستندي الستة</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 المالك المقترح (2026-10-19، القرار 31): يحدد مدير الخزينة الحالة، ثم تُكتب القاعدة في قاعدة البيانات</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O-15 (20-database-design)</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نتائج مراجعة التصميم الـ40</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 المالك سجل </w:t>
            </w:r>
            <w:r>
              <w:rPr>
                <w:rFonts w:ascii="Courier New" w:cs="Courier New" w:eastAsia="Courier New" w:hAnsi="Courier New"/>
                <w:b w:val="false"/>
                <w:bCs w:val="false"/>
                <w:color w:val="1F2937"/>
                <w:sz w:val="16"/>
                <w:szCs w:val="16"/>
                <w:shd w:fill="F1F3F5" w:color="auto" w:val="clear"/>
                <w:rtl/>
              </w:rPr>
              <w:t xml:space="preserve">‎docs/32-review-findings-decisions.md‎</w:t>
            </w:r>
            <w:r>
              <w:rPr>
                <w:rFonts w:ascii="Arial" w:cs="Arial" w:eastAsia="Arial" w:hAnsi="Arial"/>
                <w:b w:val="false"/>
                <w:bCs w:val="false"/>
                <w:sz w:val="18"/>
                <w:szCs w:val="18"/>
                <w:rtl/>
              </w:rPr>
              <w:t xml:space="preserve"> وأجوبته العشرة (2026-10-13)؛ الدفعتان (أ) و(ب) منفّذتان (ADR 0011)؛ واعتمد في 2026-10-14 قرارات التنفيذ الأربعة في §3.3 من السجل: عمود الحساسية، ومهمة المطابقة مع حالة LOST، وشرط ACTIVE، وقيد الحجب</w:t>
            </w:r>
          </w:p>
        </w:tc>
      </w:tr>
    </w:tbl>
    <w:p>
      <w:pPr>
        <w:bidi/>
        <w:spacing w:after="120" w:before="0"/>
      </w:pPr>
    </w:p>
    <w:p>
      <w:pPr>
        <w:pStyle w:val="Heading1"/>
        <w:bidi/>
      </w:pPr>
      <w:bookmarkStart w:name="_sec7" w:id="7"/>
      <w:r>
        <w:rPr>
          <w:rFonts w:ascii="Arial" w:cs="Arial" w:eastAsia="Arial" w:hAnsi="Arial"/>
          <w:b/>
          <w:bCs/>
          <w:color w:val="1F3A5F"/>
          <w:sz w:val="32"/>
          <w:szCs w:val="32"/>
          <w:rtl/>
        </w:rPr>
        <w:t xml:space="preserve">3. القائمة الكاملة حسب المستند</w:t>
      </w:r>
      <w:bookmarkEnd w:id="7"/>
    </w:p>
    <w:p>
      <w:pPr>
        <w:bidi/>
        <w:spacing w:after="110" w:before="0" w:line="312"/>
      </w:pPr>
      <w:r>
        <w:rPr>
          <w:rFonts w:ascii="Arial" w:cs="Arial" w:eastAsia="Arial" w:hAnsi="Arial"/>
          <w:b w:val="false"/>
          <w:bCs w:val="false"/>
          <w:sz w:val="21"/>
          <w:szCs w:val="21"/>
          <w:rtl/>
        </w:rPr>
        <w:t xml:space="preserve">كل جدول يذكر القرارات التي صاحبها المالك أو مالك المنتج أو مدير الخزينة في مستند واحد. «ما يعطّله» يبيّن الشريحة أو العمل المتوقف على القرار.</w:t>
      </w:r>
    </w:p>
    <w:p>
      <w:pPr>
        <w:pStyle w:val="Heading2"/>
        <w:bidi/>
      </w:pPr>
      <w:bookmarkStart w:name="_sec8" w:id="8"/>
      <w:r>
        <w:rPr>
          <w:rFonts w:ascii="Arial" w:cs="Arial" w:eastAsia="Arial" w:hAnsi="Arial"/>
          <w:b/>
          <w:bCs/>
          <w:color w:val="2B5C8A"/>
          <w:sz w:val="26"/>
          <w:szCs w:val="26"/>
          <w:rtl/>
        </w:rPr>
        <w:t xml:space="preserve">3.1 مستندات P0 (قبل S0)</w:t>
      </w:r>
      <w:bookmarkEnd w:id="8"/>
    </w:p>
    <w:p>
      <w:pPr>
        <w:bidi/>
        <w:spacing w:after="110" w:before="0" w:line="312"/>
      </w:pPr>
      <w:r>
        <w:rPr>
          <w:rFonts w:ascii="Arial" w:cs="Arial" w:eastAsia="Arial" w:hAnsi="Arial"/>
          <w:b/>
          <w:bCs/>
          <w:sz w:val="21"/>
          <w:szCs w:val="21"/>
          <w:rtl/>
        </w:rPr>
        <w:t xml:space="preserve">DOC-F01 — مخطط السياق وحدود الثقة (DFD المستوى 0)</w:t>
      </w:r>
      <w:r>
        <w:rPr>
          <w:rFonts w:ascii="Arial" w:cs="Arial" w:eastAsia="Arial" w:hAnsi="Arial"/>
          <w:b w:val="false"/>
          <w:bCs w:val="false"/>
          <w:sz w:val="21"/>
          <w:szCs w:val="21"/>
          <w:rtl/>
        </w:rPr>
        <w:t xml:space="preserve"> (1)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5"/>
        <w:gridCol w:w="1195"/>
        <w:gridCol w:w="5980"/>
        <w:gridCol w:w="1494"/>
      </w:tblGrid>
      <w:tr>
        <w:trPr>
          <w:cantSplit/>
          <w:tblHeader/>
        </w:trPr>
        <w:tc>
          <w:tcPr>
            <w:tcW w:type="dxa" w:w="1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9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4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DQ-F01-7</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أين يقرأ الدعم المؤقت بيانات المشترك؟</w:t>
            </w:r>
          </w:p>
        </w:tc>
        <w:tc>
          <w:tcPr>
            <w:tcW w:type="dxa" w:w="5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عبر TB-3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بجلسة دعم يتحقق إجراؤها من </w:t>
            </w:r>
            <w:r>
              <w:rPr>
                <w:rFonts w:ascii="Courier New" w:cs="Courier New" w:eastAsia="Courier New" w:hAnsi="Courier New"/>
                <w:b w:val="false"/>
                <w:bCs w:val="false"/>
                <w:color w:val="1F2937"/>
                <w:sz w:val="16"/>
                <w:szCs w:val="16"/>
                <w:shd w:fill="F1F3F5" w:color="auto" w:val="clear"/>
                <w:rtl/>
              </w:rPr>
              <w:t xml:space="preserve">‎plat.SupportAccessGrant‎</w:t>
            </w:r>
            <w:r>
              <w:rPr>
                <w:rFonts w:ascii="Arial" w:cs="Arial" w:eastAsia="Arial" w:hAnsi="Arial"/>
                <w:b w:val="false"/>
                <w:bCs w:val="false"/>
                <w:sz w:val="18"/>
                <w:szCs w:val="18"/>
                <w:rtl/>
              </w:rPr>
              <w:t xml:space="preserve">، لا عبر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بصيغة DQ-F04-6 أدناه: دخول خاص في </w:t>
            </w: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للقراءة فقط، لا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(db/static/036_operator_and_support.sql؛ DOC-F01 DQ-F01-7)</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FR-PLT-007</w:t>
            </w:r>
          </w:p>
        </w:tc>
      </w:tr>
    </w:tbl>
    <w:p>
      <w:pPr>
        <w:bidi/>
        <w:spacing w:after="120" w:before="0"/>
      </w:pPr>
    </w:p>
    <w:p>
      <w:pPr>
        <w:bidi/>
        <w:spacing w:after="110" w:before="0" w:line="312"/>
      </w:pPr>
      <w:r>
        <w:rPr>
          <w:rFonts w:ascii="Arial" w:cs="Arial" w:eastAsia="Arial" w:hAnsi="Arial"/>
          <w:b/>
          <w:bCs/>
          <w:sz w:val="21"/>
          <w:szCs w:val="21"/>
          <w:rtl/>
        </w:rPr>
        <w:t xml:space="preserve">DOC-F03 — تسلسل الدخول وMFA والاسترداد</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7"/>
        <w:gridCol w:w="2270"/>
        <w:gridCol w:w="5516"/>
        <w:gridCol w:w="1081"/>
      </w:tblGrid>
      <w:tr>
        <w:trPr>
          <w:cantSplit/>
          <w:tblHeader/>
        </w:trPr>
        <w:tc>
          <w:tcPr>
            <w:tcW w:type="dxa" w:w="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2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5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0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يُغلق O-9 (20-database-design)؟</w:t>
            </w:r>
          </w:p>
        </w:tc>
        <w:tc>
          <w:tcPr>
            <w:tcW w:type="dxa" w:w="5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S0، بإجراءات ضيقة بصفة tp_auth_exec على نمط ADR 0002، بلا usp_SetAuthContext، في ADR جديد</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وإعادة التعيين وMFA في S0</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DQ-F03-4</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يُربط مستخدم MfaEnabled = 0؟</w:t>
            </w:r>
          </w:p>
        </w:tc>
        <w:tc>
          <w:tcPr>
            <w:tcW w:type="dxa" w:w="5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الربط يشترط MfaVerifiedAt لكل مستخدم غير خدمي، والتسجيل بإجراء؛ يتفق مع DQ-S01-3 ومع خطوة O-24 التالية (tools/dbgen/erd_open_items.py:155)</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DQ-F03-8</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تسجيل MFA بعد التصفير</w:t>
            </w:r>
          </w:p>
        </w:tc>
        <w:tc>
          <w:tcPr>
            <w:tcW w:type="dxa" w:w="5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24 ساعة بغرض جديد MFA_REENROLMENT في sec.UserToken.Purpose، وتعديل FR-PLT-013 لرسالة ثالثة</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DQ-F03-11</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المستخدم الذي أثبت كلمة مروره ورُفض بحالة المشترك</w:t>
            </w:r>
          </w:p>
        </w:tc>
        <w:tc>
          <w:tcPr>
            <w:tcW w:type="dxa" w:w="5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 50006 المقترح في DQ-F04-3 بشرط رفعه بعد نجاح المقارنة فقط، مع تعديل docs/adr/0002-login-and-session-bound-context.md:20</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§5.3</w:t>
            </w:r>
          </w:p>
        </w:tc>
      </w:tr>
    </w:tbl>
    <w:p>
      <w:pPr>
        <w:bidi/>
        <w:spacing w:after="120" w:before="0"/>
      </w:pPr>
    </w:p>
    <w:p>
      <w:pPr>
        <w:bidi/>
        <w:spacing w:after="110" w:before="0" w:line="312"/>
      </w:pPr>
      <w:r>
        <w:rPr>
          <w:rFonts w:ascii="Arial" w:cs="Arial" w:eastAsia="Arial" w:hAnsi="Arial"/>
          <w:b/>
          <w:bCs/>
          <w:sz w:val="21"/>
          <w:szCs w:val="21"/>
          <w:rtl/>
        </w:rPr>
        <w:t xml:space="preserve">DOC-F04 — تسلسل ربط سياق المشترك لكل اتصال ومهمة</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14"/>
        <w:gridCol w:w="2883"/>
        <w:gridCol w:w="4098"/>
        <w:gridCol w:w="1669"/>
      </w:tblGrid>
      <w:tr>
        <w:trPr>
          <w:cantSplit/>
          <w:tblHeader/>
        </w:trPr>
        <w:tc>
          <w:tcPr>
            <w:tcW w:type="dxa" w:w="1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0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6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DQ-F04-1</w:t>
            </w:r>
          </w:p>
        </w:tc>
        <w:tc>
          <w:tcPr>
            <w:tcW w:type="dxa" w:w="2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يُحسم O-18 (erd_open_items)؟</w:t>
            </w:r>
          </w:p>
        </w:tc>
        <w:tc>
          <w:tcPr>
            <w:tcW w:type="dxa" w:w="4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الخيار (أ) بالمصفوفة في §7.4</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030 والاختبار T27، ودخول S0</w:t>
            </w:r>
          </w:p>
        </w:tc>
      </w:tr>
      <w:tr>
        <w:trPr>
          <w:cantSplit/>
        </w:trPr>
        <w:tc>
          <w:tcPr>
            <w:tcW w:type="dxa" w:w="1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DQ-F04-2</w:t>
            </w:r>
          </w:p>
        </w:tc>
        <w:tc>
          <w:tcPr>
            <w:tcW w:type="dxa" w:w="2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يقرأ مشتركًا ARCHIVED_READ_ONLY؟</w:t>
            </w:r>
          </w:p>
        </w:tc>
        <w:tc>
          <w:tcPr>
            <w:tcW w:type="dxa" w:w="40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دخول لمستخدمي المشترك؛ قراءة المشغّل بإجراء مُراجَع بطلب مكتوب</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§7.4 وDOC-F05</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DQ-F04-6</w:t>
            </w:r>
          </w:p>
        </w:tc>
        <w:tc>
          <w:tcPr>
            <w:tcW w:type="dxa" w:w="2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يربط الدعم المؤقت؟</w:t>
            </w:r>
          </w:p>
        </w:tc>
        <w:tc>
          <w:tcPr>
            <w:tcW w:type="dxa" w:w="4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‎sec.usp_SetSupportContext‎</w:t>
            </w:r>
            <w:r>
              <w:rPr>
                <w:rFonts w:ascii="Arial" w:cs="Arial" w:eastAsia="Arial" w:hAnsi="Arial"/>
                <w:b w:val="false"/>
                <w:bCs w:val="false"/>
                <w:sz w:val="18"/>
                <w:szCs w:val="18"/>
                <w:rtl/>
              </w:rPr>
              <w:t xml:space="preserve">، وعمودا </w:t>
            </w:r>
            <w:r>
              <w:rPr>
                <w:rFonts w:ascii="Courier New" w:cs="Courier New" w:eastAsia="Courier New" w:hAnsi="Courier New"/>
                <w:b w:val="false"/>
                <w:bCs w:val="false"/>
                <w:color w:val="1F2937"/>
                <w:sz w:val="16"/>
                <w:szCs w:val="16"/>
                <w:shd w:fill="F1F3F5" w:color="auto" w:val="clear"/>
                <w:rtl/>
              </w:rPr>
              <w:t xml:space="preserve">‎BindingKind‎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‎BoundOperatorId‎</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 وBR-PLT-017 في S0</w:t>
            </w:r>
          </w:p>
        </w:tc>
      </w:tr>
    </w:tbl>
    <w:p>
      <w:pPr>
        <w:bidi/>
        <w:spacing w:after="120" w:before="0"/>
      </w:pPr>
    </w:p>
    <w:p>
      <w:pPr>
        <w:bidi/>
        <w:spacing w:after="110" w:before="0" w:line="312"/>
      </w:pPr>
      <w:r>
        <w:rPr>
          <w:rFonts w:ascii="Arial" w:cs="Arial" w:eastAsia="Arial" w:hAnsi="Arial"/>
          <w:b/>
          <w:bCs/>
          <w:sz w:val="21"/>
          <w:szCs w:val="21"/>
          <w:rtl/>
        </w:rPr>
        <w:t xml:space="preserve">DOC-F05 — تسلسل تهيئة المشترك ودورة حياته مع الفشل والتراجع</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35"/>
        <w:gridCol w:w="2523"/>
        <w:gridCol w:w="3213"/>
        <w:gridCol w:w="2293"/>
      </w:tblGrid>
      <w:tr>
        <w:trPr>
          <w:cantSplit/>
          <w:tblHeader/>
        </w:trPr>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2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2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DQ-F05-2</w:t>
            </w:r>
          </w:p>
        </w:tc>
        <w:tc>
          <w:tcPr>
            <w:tcW w:type="dxa" w:w="2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يعتمد التهيئة؟</w:t>
            </w:r>
          </w:p>
        </w:tc>
        <w:tc>
          <w:tcPr>
            <w:tcW w:type="dxa" w:w="32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OPERATOR_ADMIN واحد بعد إعادة مصادقة MFA، مع تدقيق؛ لا موافقة ثانية في S0</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المشغّل</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DQ-F05-4</w:t>
            </w:r>
          </w:p>
        </w:tc>
        <w:tc>
          <w:tcPr>
            <w:tcW w:type="dxa" w:w="2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يحدث لتهيئة ملغاة؟</w:t>
            </w:r>
          </w:p>
        </w:tc>
        <w:tc>
          <w:tcPr>
            <w:tcW w:type="dxa" w:w="32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TRIAL إلى CLOSED بسبب، ويبقى الرمز محجوزًا، ولا حذف</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DQ-F05-6</w:t>
            </w:r>
          </w:p>
        </w:tc>
        <w:tc>
          <w:tcPr>
            <w:tcW w:type="dxa" w:w="2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التجربة بعد انتهائها، ومن ينفّذ المؤقتات؟</w:t>
            </w:r>
          </w:p>
        </w:tc>
        <w:tc>
          <w:tcPr>
            <w:tcW w:type="dxa" w:w="32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يُسمح بـ SUSPENDED إلى TRIAL بتاريخ جديد؛ المؤقتات مهام منصة يومية تستدعي الإجراء نفسه وتُسجَّل في التدقيق</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و§6.3</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DQ-F05-7</w:t>
            </w:r>
          </w:p>
        </w:tc>
        <w:tc>
          <w:tcPr>
            <w:tcW w:type="dxa" w:w="2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يُغلق مشترك حقيقي قبل بناء التصدير FR-PLT-039؟</w:t>
            </w:r>
          </w:p>
        </w:tc>
        <w:tc>
          <w:tcPr>
            <w:tcW w:type="dxa" w:w="32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يُبنى الانتقال ويُختبر في S0، ويُمنع الإغلاق الفعلي حتى يوجد التصدير</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w:t>
            </w:r>
          </w:p>
        </w:tc>
      </w:tr>
    </w:tbl>
    <w:p>
      <w:pPr>
        <w:bidi/>
        <w:spacing w:after="120" w:before="0"/>
      </w:pPr>
    </w:p>
    <w:p>
      <w:pPr>
        <w:bidi/>
        <w:spacing w:after="110" w:before="0" w:line="312"/>
      </w:pPr>
      <w:r>
        <w:rPr>
          <w:rFonts w:ascii="Arial" w:cs="Arial" w:eastAsia="Arial" w:hAnsi="Arial"/>
          <w:b/>
          <w:bCs/>
          <w:sz w:val="21"/>
          <w:szCs w:val="21"/>
          <w:rtl/>
        </w:rPr>
        <w:t xml:space="preserve">DOC-F06 — مخطط حالات المستخدم (AppUser) مع القفل والجلسات</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61"/>
        <w:gridCol w:w="2922"/>
        <w:gridCol w:w="1826"/>
        <w:gridCol w:w="3655"/>
      </w:tblGrid>
      <w:tr>
        <w:trPr>
          <w:cantSplit/>
          <w:tblHeader/>
        </w:trPr>
        <w:tc>
          <w:tcPr>
            <w:tcW w:type="dxa" w:w="14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9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1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36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DQ-F06-3</w:t>
            </w:r>
          </w:p>
        </w:tc>
        <w:tc>
          <w:tcPr>
            <w:tcW w:type="dxa" w:w="2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تُفصل صلاحيات فك القفل وتصفير MFA وإنهاء الجلسات عن sec.user.manage؟</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رمز واحد كما في DOC-F07، مع إعادة مصادقة للفعلين الحساسين</w:t>
            </w:r>
          </w:p>
        </w:tc>
        <w:tc>
          <w:tcPr>
            <w:tcW w:type="dxa" w:w="3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البذر (DOC-B05)، الشاشة 5</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DQ-F06-4</w:t>
            </w:r>
          </w:p>
        </w:tc>
        <w:tc>
          <w:tcPr>
            <w:tcW w:type="dxa" w:w="2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الوحيد مقفل أو فقد جهازه</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منصة مُراجَع ينفّذه المشغّل بطلب خطي من المشترك</w:t>
            </w:r>
          </w:p>
        </w:tc>
        <w:tc>
          <w:tcPr>
            <w:tcW w:type="dxa" w:w="3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(20-database-design)</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DQ-F06-5</w:t>
            </w:r>
          </w:p>
        </w:tc>
        <w:tc>
          <w:tcPr>
            <w:tcW w:type="dxa" w:w="2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دعوة منتهية</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 INVITED، ويعيد المدير الإرسال أو يؤرشف؛ لا أرشفة آلية</w:t>
            </w:r>
          </w:p>
        </w:tc>
        <w:tc>
          <w:tcPr>
            <w:tcW w:type="dxa" w:w="3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DQ-F06-6</w:t>
            </w:r>
          </w:p>
        </w:tc>
        <w:tc>
          <w:tcPr>
            <w:tcW w:type="dxa" w:w="2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القفل الثالث وتصفير MFA في S0، والتسليم داخل المنصة يبدأ في S1</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S0 تظهر في شاشة المستخدمين وتقرير R-PLT-4</w:t>
            </w:r>
          </w:p>
        </w:tc>
        <w:tc>
          <w:tcPr>
            <w:tcW w:type="dxa" w:w="3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§9.3 من 10-m0-m1</w:t>
            </w:r>
          </w:p>
        </w:tc>
      </w:tr>
    </w:tbl>
    <w:p>
      <w:pPr>
        <w:bidi/>
        <w:spacing w:after="120" w:before="0"/>
      </w:pPr>
    </w:p>
    <w:p>
      <w:pPr>
        <w:bidi/>
        <w:spacing w:after="110" w:before="0" w:line="312"/>
      </w:pPr>
      <w:r>
        <w:rPr>
          <w:rFonts w:ascii="Arial" w:cs="Arial" w:eastAsia="Arial" w:hAnsi="Arial"/>
          <w:b/>
          <w:bCs/>
          <w:sz w:val="21"/>
          <w:szCs w:val="21"/>
          <w:rtl/>
        </w:rPr>
        <w:t xml:space="preserve">DOC-F07 — كتالوج حالات الاستخدام: المنصة والهيكل المؤسسي والأشخاص (M0 وM1)</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53"/>
        <w:gridCol w:w="1972"/>
        <w:gridCol w:w="3071"/>
        <w:gridCol w:w="3068"/>
      </w:tblGrid>
      <w:tr>
        <w:trPr>
          <w:cantSplit/>
          <w:tblHeader/>
        </w:trPr>
        <w:tc>
          <w:tcPr>
            <w:tcW w:type="dxa" w:w="17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0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30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DQ-F07-1</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رموز الصلاحيات المقترحة في §3</w:t>
            </w:r>
          </w:p>
        </w:tc>
        <w:tc>
          <w:tcPr>
            <w:tcW w:type="dxa" w:w="30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تُعتمد كما هي تحت ModuleCode = CORE، وتُضاف إلى مصفوفة 10-m0-m1</w:t>
            </w:r>
          </w:p>
        </w:tc>
        <w:tc>
          <w:tcPr>
            <w:tcW w:type="dxa" w:w="3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sec.Permission (DOC-B05)، واختبار FR-PLT-017</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DQ-F07-2</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شركات مدير الحساب الأول</w:t>
            </w:r>
          </w:p>
        </w:tc>
        <w:tc>
          <w:tcPr>
            <w:tcW w:type="dxa" w:w="30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ALL عند التهيئة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وSELECTED افتراضيًا لغيره كما في النموذج</w:t>
            </w:r>
          </w:p>
        </w:tc>
        <w:tc>
          <w:tcPr>
            <w:tcW w:type="dxa" w:w="3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 خروج S0</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DQ-F07-3</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ينشئ حسابات المشغّلين</w:t>
            </w:r>
          </w:p>
        </w:tc>
        <w:tc>
          <w:tcPr>
            <w:tcW w:type="dxa" w:w="30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OPERATOR_ADMIN يُبذر عند النشر، ثم يديرها OPERATOR_ADMIN من لوحة المشغّل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والسياسة في DOC-S04 §12</w:t>
            </w:r>
          </w:p>
        </w:tc>
        <w:tc>
          <w:tcPr>
            <w:tcW w:type="dxa" w:w="3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UC-PLT-01، DOC-B07</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DQ-F07-4</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المستندات في S0 بلا شاشة أعمال</w:t>
            </w:r>
          </w:p>
        </w:tc>
        <w:tc>
          <w:tcPr>
            <w:tcW w:type="dxa" w:w="30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يسلّم الخدمة والواجهة البرمجية واختباراتها ومكوّن رفع مشترك؛ أول شاشة أعمال في S1 </w:t>
            </w:r>
            <w:r>
              <w:rPr>
                <w:rFonts w:ascii="Arial" w:cs="Arial" w:eastAsia="Arial" w:hAnsi="Arial"/>
                <w:color w:val="E0A800"/>
                <w:sz w:val="18"/>
                <w:szCs w:val="18"/>
                <w:rtl/>
              </w:rPr>
              <w:t xml:space="preserve">●</w:t>
            </w:r>
          </w:p>
        </w:tc>
        <w:tc>
          <w:tcPr>
            <w:tcW w:type="dxa" w:w="3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UC-PLT-21، UC-PLT-22</w:t>
            </w:r>
          </w:p>
        </w:tc>
      </w:tr>
    </w:tbl>
    <w:p>
      <w:pPr>
        <w:bidi/>
        <w:spacing w:after="120" w:before="0"/>
      </w:pPr>
    </w:p>
    <w:p>
      <w:pPr>
        <w:bidi/>
        <w:spacing w:after="110" w:before="0" w:line="312"/>
      </w:pPr>
      <w:r>
        <w:rPr>
          <w:rFonts w:ascii="Arial" w:cs="Arial" w:eastAsia="Arial" w:hAnsi="Arial"/>
          <w:b/>
          <w:bCs/>
          <w:sz w:val="21"/>
          <w:szCs w:val="21"/>
          <w:rtl/>
        </w:rPr>
        <w:t xml:space="preserve">DOC-F08 — نموذج حالة الطلب الموحّد وإقفال دورة العمل (توفيق المصادر)</w:t>
      </w:r>
      <w:r>
        <w:rPr>
          <w:rFonts w:ascii="Arial" w:cs="Arial" w:eastAsia="Arial" w:hAnsi="Arial"/>
          <w:b w:val="false"/>
          <w:bCs w:val="false"/>
          <w:sz w:val="21"/>
          <w:szCs w:val="21"/>
          <w:rtl/>
        </w:rPr>
        <w:t xml:space="preserve"> (7)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9"/>
        <w:gridCol w:w="3997"/>
        <w:gridCol w:w="3745"/>
        <w:gridCol w:w="1123"/>
      </w:tblGrid>
      <w:tr>
        <w:trPr>
          <w:cantSplit/>
          <w:tblHeader/>
        </w:trPr>
        <w:tc>
          <w:tcPr>
            <w:tcW w:type="dxa" w:w="9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7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DQ-F08-1</w:t>
            </w:r>
          </w:p>
        </w:tc>
        <w:tc>
          <w:tcPr>
            <w:tcW w:type="dxa" w:w="3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النموذج الموحّد (ست حالات بـ AWAITING_CLOSE وأربع طبقات) وتعديل 13-m6 به؛ يُغلق O-10 (20-database-design)</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يُعتمد كما في §4، ويسري على كل أنواع الطلبات لأن قيود القاعدة تفرضه</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13-m6؛ DOC-F10؛ S3</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DQ-F08-2</w:t>
            </w:r>
          </w:p>
        </w:tc>
        <w:tc>
          <w:tcPr>
            <w:tcW w:type="dxa" w:w="3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يبقى الرفض والإلغاء فوريين؟ (سؤال docs/20-database-design.md:538)</w:t>
            </w:r>
          </w:p>
        </w:tc>
        <w:tc>
          <w:tcPr>
            <w:tcW w:type="dxa" w:w="3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لا يمران بالإقفال</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13-m6</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DQ-F08-3</w:t>
            </w:r>
          </w:p>
        </w:tc>
        <w:tc>
          <w:tcPr>
            <w:tcW w:type="dxa" w:w="3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يحمل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افتراضيًا؛ ويضيفه المشترك لـ FO إن شاء</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الأدوار (DOC-B05)</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DQ-F08-4</w:t>
            </w:r>
          </w:p>
        </w:tc>
        <w:tc>
          <w:tcPr>
            <w:tcW w:type="dxa" w:w="3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معنى «مُعتمِده» في قاعدة فصل المهام (docs/20-database-design.md:403)</w:t>
            </w:r>
          </w:p>
        </w:tc>
        <w:tc>
          <w:tcPr>
            <w:tcW w:type="dxa" w:w="3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المُقفِل ليس الطالب ولا المنشئ ولا المُسنَد الذي أكمل آخر مرحلة؛ موافقة TM عند نقطة الحجز لا تمنعه؛ والاستثناء بـ </w:t>
            </w:r>
            <w:r>
              <w:rPr>
                <w:rFonts w:ascii="Courier New" w:cs="Courier New" w:eastAsia="Courier New" w:hAnsi="Courier New"/>
                <w:b w:val="false"/>
                <w:bCs w:val="false"/>
                <w:color w:val="1F2937"/>
                <w:sz w:val="16"/>
                <w:szCs w:val="16"/>
                <w:shd w:fill="F1F3F5" w:color="auto" w:val="clear"/>
                <w:rtl/>
              </w:rPr>
              <w:t xml:space="preserve">‎wf.sod.allow_same_person‎</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الإقفال</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DQ-F08-5</w:t>
            </w:r>
          </w:p>
        </w:tc>
        <w:tc>
          <w:tcPr>
            <w:tcW w:type="dxa" w:w="3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يراه الطالب في AWAITING_CLOSE</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IN_PROGRESS «تحت الإجراء» كما في docs/20-database-design.md:406</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الطالب</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DQ-F08-7</w:t>
            </w:r>
          </w:p>
        </w:tc>
        <w:tc>
          <w:tcPr>
            <w:tcW w:type="dxa" w:w="3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يجوز إرجاع طلب أو إلغاؤه في AWAITING_CLOSE؟</w:t>
            </w:r>
          </w:p>
        </w:tc>
        <w:tc>
          <w:tcPr>
            <w:tcW w:type="dxa" w:w="3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التصحيح بطلب فرعي</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المحرك</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DQ-F08-8</w:t>
            </w:r>
          </w:p>
        </w:tc>
        <w:tc>
          <w:tcPr>
            <w:tcW w:type="dxa" w:w="3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الإقفال ومهلته</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جديد REQ.READY_TO_CLOSE لحاملي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وعدّاد في اللوحة، وبلا SLA افتراضيًا</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الأحداث (13-m6 §9.2)</w:t>
            </w:r>
          </w:p>
        </w:tc>
      </w:tr>
    </w:tbl>
    <w:p>
      <w:pPr>
        <w:bidi/>
        <w:spacing w:after="120" w:before="0"/>
      </w:pPr>
    </w:p>
    <w:p>
      <w:pPr>
        <w:bidi/>
        <w:spacing w:after="110" w:before="0" w:line="312"/>
      </w:pPr>
      <w:r>
        <w:rPr>
          <w:rFonts w:ascii="Arial" w:cs="Arial" w:eastAsia="Arial" w:hAnsi="Arial"/>
          <w:b/>
          <w:bCs/>
          <w:sz w:val="21"/>
          <w:szCs w:val="21"/>
          <w:rtl/>
        </w:rPr>
        <w:t xml:space="preserve">DOC-S01 — نموذج التهديدات (STRIDE لكل حد ثقة)</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23"/>
        <w:gridCol w:w="2023"/>
        <w:gridCol w:w="3036"/>
        <w:gridCol w:w="2782"/>
      </w:tblGrid>
      <w:tr>
        <w:trPr>
          <w:cantSplit/>
          <w:tblHeader/>
        </w:trPr>
        <w:tc>
          <w:tcPr>
            <w:tcW w:type="dxa" w:w="20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0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7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DQ-S01-1</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يعتمد قبول الخطر المتبقي، وكيف يُراجع؟</w:t>
            </w:r>
          </w:p>
        </w:tc>
        <w:tc>
          <w:tcPr>
            <w:tcW w:type="dxa" w:w="3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يعتمد بتوصية معماري الأمن؛ مراجعة قبل كل شريحة؛ العالي لا يُقبل بلا تاريخ معالجة</w:t>
            </w:r>
          </w:p>
        </w:tc>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DOC-B09، §5</w:t>
            </w:r>
          </w:p>
        </w:tc>
      </w:tr>
      <w:tr>
        <w:trPr>
          <w:cantSplit/>
        </w:trPr>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DQ-S01-3</w:t>
            </w:r>
          </w:p>
        </w:tc>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يشترط الربط MFA لكل مستخدم غير خدمي؟</w:t>
            </w:r>
          </w:p>
        </w:tc>
        <w:tc>
          <w:tcPr>
            <w:tcW w:type="dxa" w:w="30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التسجيل الأول بإجراء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قبل أول ربط</w:t>
            </w:r>
          </w:p>
        </w:tc>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DOC-F03</w:t>
            </w:r>
          </w:p>
        </w:tc>
      </w:tr>
      <w:tr>
        <w:trPr>
          <w:cantSplit/>
        </w:trPr>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DQ-S01-6</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تُقبل O-20 وO-21 وO-22 متبقية؟</w:t>
            </w:r>
          </w:p>
        </w:tc>
        <w:tc>
          <w:tcPr>
            <w:tcW w:type="dxa" w:w="3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بتقييم منخفض ومالك ومراجعة قبل S2، بعد تطبيق ضوابط التطبيق في §5</w:t>
            </w:r>
          </w:p>
        </w:tc>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bl>
    <w:p>
      <w:pPr>
        <w:bidi/>
        <w:spacing w:after="120" w:before="0"/>
      </w:pPr>
    </w:p>
    <w:p>
      <w:pPr>
        <w:bidi/>
        <w:spacing w:after="110" w:before="0" w:line="312"/>
      </w:pPr>
      <w:r>
        <w:rPr>
          <w:rFonts w:ascii="Arial" w:cs="Arial" w:eastAsia="Arial" w:hAnsi="Arial"/>
          <w:b/>
          <w:bCs/>
          <w:sz w:val="21"/>
          <w:szCs w:val="21"/>
          <w:rtl/>
        </w:rPr>
        <w:t xml:space="preserve">DOC-S02 — سياسة إدارة المفاتيح والتشفير عند التخزين</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35"/>
        <w:gridCol w:w="2135"/>
        <w:gridCol w:w="2985"/>
        <w:gridCol w:w="2609"/>
      </w:tblGrid>
      <w:tr>
        <w:trPr>
          <w:cantSplit/>
          <w:tblHeader/>
        </w:trPr>
        <w:tc>
          <w:tcPr>
            <w:tcW w:type="dxa" w:w="21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6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w:t>
            </w:r>
          </w:p>
        </w:tc>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يعيش المفتاح الرئيسي للتطبيق K-05 ومفتاح المنصة K-09؟</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إدارة مفاتيح أو وحدة أمن عتادية خارج VPS القاعدة وخارج حساب الاستضافة نفسه، تدعم اللف والفك دون تصدير المفتاح</w:t>
            </w:r>
          </w:p>
        </w:tc>
        <w:tc>
          <w:tcPr>
            <w:tcW w:type="dxa" w:w="2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تحميل بيانات حقيقية (ADR 0001)</w:t>
            </w:r>
          </w:p>
        </w:tc>
      </w:tr>
      <w:tr>
        <w:trPr>
          <w:cantSplit/>
        </w:trPr>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DQ-S02-2</w:t>
            </w:r>
          </w:p>
        </w:tc>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الحافظان؟</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KC-1 مسؤول الأمن، KC-2 ممثل المالك؛ DBA مستبعد من K-05</w:t>
            </w:r>
          </w:p>
        </w:tc>
        <w:tc>
          <w:tcPr>
            <w:tcW w:type="dxa" w:w="2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 مراسم المفاتيح</w:t>
            </w:r>
          </w:p>
        </w:tc>
      </w:tr>
      <w:tr>
        <w:trPr>
          <w:cantSplit/>
        </w:trPr>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DQ-S02-3</w:t>
            </w:r>
          </w:p>
        </w:tc>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التقسيم</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نصفان ومظروفان في موقعين؛ البديل 2 من 3</w:t>
            </w:r>
          </w:p>
        </w:tc>
        <w:tc>
          <w:tcPr>
            <w:tcW w:type="dxa" w:w="2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w:t>
            </w:r>
          </w:p>
        </w:tc>
      </w:tr>
      <w:tr>
        <w:trPr>
          <w:cantSplit/>
        </w:trPr>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DQ-S02-5</w:t>
            </w:r>
          </w:p>
        </w:tc>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SQL Server المرخَّص وهل يشمل TDE وتشفير النسخ</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يُتحقق قبل الشراء؛ CI يستعمل Developer</w:t>
            </w:r>
          </w:p>
        </w:tc>
        <w:tc>
          <w:tcPr>
            <w:tcW w:type="dxa" w:w="2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القسمان 5 و6</w:t>
            </w:r>
          </w:p>
        </w:tc>
      </w:tr>
      <w:tr>
        <w:trPr>
          <w:cantSplit/>
        </w:trPr>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DQ-S02-10</w:t>
            </w:r>
          </w:p>
        </w:tc>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مخزن الملفات</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تخزين مستقلة على VPS مع نسخ منفصل</w:t>
            </w:r>
          </w:p>
        </w:tc>
        <w:tc>
          <w:tcPr>
            <w:tcW w:type="dxa" w:w="2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r>
      <w:tr>
        <w:trPr>
          <w:cantSplit/>
        </w:trPr>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DQ-S02-12</w:t>
            </w:r>
          </w:p>
        </w:tc>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الحفظ في التثبيت المحلي</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الحافظان من جهة المشترك</w:t>
            </w:r>
          </w:p>
        </w:tc>
        <w:tc>
          <w:tcPr>
            <w:tcW w:type="dxa" w:w="2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 (S5)</w:t>
            </w:r>
          </w:p>
        </w:tc>
      </w:tr>
    </w:tbl>
    <w:p>
      <w:pPr>
        <w:bidi/>
        <w:spacing w:after="120" w:before="0"/>
      </w:pPr>
    </w:p>
    <w:p>
      <w:pPr>
        <w:bidi/>
        <w:spacing w:after="110" w:before="0" w:line="312"/>
      </w:pPr>
      <w:r>
        <w:rPr>
          <w:rFonts w:ascii="Arial" w:cs="Arial" w:eastAsia="Arial" w:hAnsi="Arial"/>
          <w:b/>
          <w:bCs/>
          <w:sz w:val="21"/>
          <w:szCs w:val="21"/>
          <w:rtl/>
        </w:rPr>
        <w:t xml:space="preserve">DOC-S03 — معمارية الأمن والمصادقة والجلسات (سلسلة الثقة من الهوية إلى سياق المشترك)</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2518"/>
        <w:gridCol w:w="3570"/>
        <w:gridCol w:w="2098"/>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5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0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DQ-S03-5</w:t>
            </w:r>
          </w:p>
        </w:tc>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إغلاق O-24</w:t>
            </w:r>
          </w:p>
        </w:tc>
        <w:tc>
          <w:tcPr>
            <w:tcW w:type="dxa" w:w="35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 وR3 وR4 وR5 كما في §12؛ R3 يتفق مع DQ-F04-8</w:t>
            </w:r>
          </w:p>
        </w:tc>
        <w:tc>
          <w:tcPr>
            <w:tcW w:type="dxa" w:w="2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O-24</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DQ-S03-6</w:t>
            </w:r>
          </w:p>
        </w:tc>
        <w:tc>
          <w:tcPr>
            <w:tcW w:type="dxa" w:w="25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الجلسة الأقصر لكل مشترك (FR-PLT-043)</w:t>
            </w:r>
          </w:p>
        </w:tc>
        <w:tc>
          <w:tcPr>
            <w:tcW w:type="dxa" w:w="35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 يقرأ مفتاحي المهلتين من cfg.TenantSetting بحد أقصى 30 دقيقة و12 ساعة</w:t>
            </w:r>
          </w:p>
        </w:tc>
        <w:tc>
          <w:tcPr>
            <w:tcW w:type="dxa" w:w="20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DQ-S03-7</w:t>
            </w:r>
          </w:p>
        </w:tc>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لوحة المشغّل</w:t>
            </w:r>
          </w:p>
        </w:tc>
        <w:tc>
          <w:tcPr>
            <w:tcW w:type="dxa" w:w="35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مستقل وكوكي باسم مختلف</w:t>
            </w:r>
          </w:p>
        </w:tc>
        <w:tc>
          <w:tcPr>
            <w:tcW w:type="dxa" w:w="2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r>
    </w:tbl>
    <w:p>
      <w:pPr>
        <w:bidi/>
        <w:spacing w:after="120" w:before="0"/>
      </w:pPr>
    </w:p>
    <w:p>
      <w:pPr>
        <w:bidi/>
        <w:spacing w:after="110" w:before="0" w:line="312"/>
      </w:pPr>
      <w:r>
        <w:rPr>
          <w:rFonts w:ascii="Arial" w:cs="Arial" w:eastAsia="Arial" w:hAnsi="Arial"/>
          <w:b/>
          <w:bCs/>
          <w:sz w:val="21"/>
          <w:szCs w:val="21"/>
          <w:rtl/>
        </w:rPr>
        <w:t xml:space="preserve">DOC-S04 — سياسة كلمات المرور والمصادقة المتعددة والاسترداد</w:t>
      </w:r>
      <w:r>
        <w:rPr>
          <w:rFonts w:ascii="Arial" w:cs="Arial" w:eastAsia="Arial" w:hAnsi="Arial"/>
          <w:b w:val="false"/>
          <w:bCs w:val="false"/>
          <w:sz w:val="21"/>
          <w:szCs w:val="21"/>
          <w:rtl/>
        </w:rPr>
        <w:t xml:space="preserve"> (5)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19"/>
        <w:gridCol w:w="2219"/>
        <w:gridCol w:w="2714"/>
        <w:gridCol w:w="2712"/>
      </w:tblGrid>
      <w:tr>
        <w:trPr>
          <w:cantSplit/>
          <w:tblHeader/>
        </w:trPr>
        <w:tc>
          <w:tcPr>
            <w:tcW w:type="dxa" w:w="2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7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7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DQ-S04-4</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دلالة القفل الثالث</w:t>
            </w:r>
          </w:p>
        </w:tc>
        <w:tc>
          <w:tcPr>
            <w:tcW w:type="dxa" w:w="2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المنفَّذ وتعديل نص BR-PLT-005</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r>
        <w:trPr>
          <w:cantSplit/>
        </w:trPr>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DQ-S04-9</w:t>
            </w:r>
          </w:p>
        </w:tc>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التصفير ومهلة إعادة التسجيل</w:t>
            </w:r>
          </w:p>
        </w:tc>
        <w:tc>
          <w:tcPr>
            <w:tcW w:type="dxa" w:w="2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والمهلة 24 ساعة</w:t>
            </w:r>
          </w:p>
        </w:tc>
        <w:tc>
          <w:tcPr>
            <w:tcW w:type="dxa" w:w="2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DQ-S04-10</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المشغّل والجداول الناقصة</w:t>
            </w:r>
          </w:p>
        </w:tc>
        <w:tc>
          <w:tcPr>
            <w:tcW w:type="dxa" w:w="2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r>
      <w:tr>
        <w:trPr>
          <w:cantSplit/>
        </w:trPr>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DQ-S04-11</w:t>
            </w:r>
          </w:p>
        </w:tc>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يعطّل المشترك MFA؟</w:t>
            </w:r>
          </w:p>
        </w:tc>
        <w:tc>
          <w:tcPr>
            <w:tcW w:type="dxa" w:w="2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فـ «افتراضيًا» تعني قيمة المنصة الدنيا</w:t>
            </w:r>
          </w:p>
        </w:tc>
        <w:tc>
          <w:tcPr>
            <w:tcW w:type="dxa" w:w="2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DQ-S04-14</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الإعدادات وحدودها</w:t>
            </w:r>
          </w:p>
        </w:tc>
        <w:tc>
          <w:tcPr>
            <w:tcW w:type="dxa" w:w="2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البذر</w:t>
            </w:r>
          </w:p>
        </w:tc>
      </w:tr>
    </w:tbl>
    <w:p>
      <w:pPr>
        <w:bidi/>
        <w:spacing w:after="120" w:before="0"/>
      </w:pPr>
    </w:p>
    <w:p>
      <w:pPr>
        <w:bidi/>
        <w:spacing w:after="110" w:before="0" w:line="312"/>
      </w:pPr>
      <w:r>
        <w:rPr>
          <w:rFonts w:ascii="Arial" w:cs="Arial" w:eastAsia="Arial" w:hAnsi="Arial"/>
          <w:b/>
          <w:bCs/>
          <w:sz w:val="21"/>
          <w:szCs w:val="21"/>
          <w:rtl/>
        </w:rPr>
        <w:t xml:space="preserve">DOC-S05 — سياسة TLS وتشفير الاتصالات</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36"/>
        <w:gridCol w:w="1817"/>
        <w:gridCol w:w="2595"/>
        <w:gridCol w:w="3116"/>
      </w:tblGrid>
      <w:tr>
        <w:trPr>
          <w:cantSplit/>
          <w:tblHeader/>
        </w:trPr>
        <w:tc>
          <w:tcPr>
            <w:tcW w:type="dxa" w:w="23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5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31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التصديق العامة وطريقة الإصدار</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عامة عبر ACME بتحدي DNS-01 وتجديد آلي</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الأول (FR-PLT-046)</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DQ-S05-2</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شاملة أم شهادة لكل عنوان؟</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شاملة مع اسم الجذر، لحماية قائمة المشتركين من سجلات الشفافية</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DQ-S05-8</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مصدر لوحة المشغّل</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عناوين مسموحة أو شبكة خاصة</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DQ-S05-9</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SPF وDKIM وDMARC في S0</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DQ-S05-10</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DNS وحفظ رمز واجهته</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يُحدَّد مع مزوّد الاستضافة؛ رمز بأضيق صلاحية</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الشهادة</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DQ-S05-12</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يُنهى TLS؟</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على مضيف التطبيق؛ يتبع قرار نظام تشغيل طبقة التطبيق</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w:t>
            </w:r>
          </w:p>
        </w:tc>
      </w:tr>
    </w:tbl>
    <w:p>
      <w:pPr>
        <w:bidi/>
        <w:spacing w:after="120" w:before="0"/>
      </w:pPr>
    </w:p>
    <w:p>
      <w:pPr>
        <w:bidi/>
        <w:spacing w:after="110" w:before="0" w:line="312"/>
      </w:pPr>
      <w:r>
        <w:rPr>
          <w:rFonts w:ascii="Arial" w:cs="Arial" w:eastAsia="Arial" w:hAnsi="Arial"/>
          <w:b/>
          <w:bCs/>
          <w:sz w:val="21"/>
          <w:szCs w:val="21"/>
          <w:rtl/>
        </w:rPr>
        <w:t xml:space="preserve">DOC-S06 — معيار تصنيف البيانات وحمايتها على مستوى الأعمدة والملفات</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72"/>
        <w:gridCol w:w="1750"/>
        <w:gridCol w:w="1750"/>
        <w:gridCol w:w="5092"/>
      </w:tblGrid>
      <w:tr>
        <w:trPr>
          <w:cantSplit/>
          <w:tblHeader/>
        </w:trPr>
        <w:tc>
          <w:tcPr>
            <w:tcW w:type="dxa" w:w="12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17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50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DQ-S06-1</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يُحجب السرّي عن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كالمقيّد؟</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بتوليد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للسرّي أيضًا، والتقارير عبر عروض مجمّعة</w:t>
            </w:r>
          </w:p>
        </w:tc>
        <w:tc>
          <w:tcPr>
            <w:tcW w:type="dxa" w:w="5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DDL قبل S0</w:t>
            </w:r>
          </w:p>
        </w:tc>
      </w:tr>
      <w:tr>
        <w:trPr>
          <w:cantSplit/>
        </w:trPr>
        <w:tc>
          <w:tcPr>
            <w:tcW w:type="dxa" w:w="1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DQ-S06-2</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الحساب وIBAN مقيّدان أم سرّيان؟</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مقيّدان، كما في النموذج وFR-REQ-024</w:t>
            </w:r>
          </w:p>
        </w:tc>
        <w:tc>
          <w:tcPr>
            <w:tcW w:type="dxa" w:w="5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توحيد 11-m2-m4 §12</w:t>
            </w:r>
          </w:p>
        </w:tc>
      </w:tr>
      <w:tr>
        <w:trPr>
          <w:cantSplit/>
        </w:trPr>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DQ-S06-8</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الإعاقة وأي فئة صحية</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تُجمع إلا بطلب نموذج بنك، حقلًا مخصصًا مقيّدًا، بعد رأي قانوني</w:t>
            </w:r>
          </w:p>
        </w:tc>
        <w:tc>
          <w:tcPr>
            <w:tcW w:type="dxa" w:w="5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docs/05-kyc-forms-analysis.md:73</w:t>
            </w:r>
          </w:p>
        </w:tc>
      </w:tr>
    </w:tbl>
    <w:p>
      <w:pPr>
        <w:bidi/>
        <w:spacing w:after="120" w:before="0"/>
      </w:pPr>
    </w:p>
    <w:p>
      <w:pPr>
        <w:bidi/>
        <w:spacing w:after="110" w:before="0" w:line="312"/>
      </w:pPr>
      <w:r>
        <w:rPr>
          <w:rFonts w:ascii="Arial" w:cs="Arial" w:eastAsia="Arial" w:hAnsi="Arial"/>
          <w:b/>
          <w:bCs/>
          <w:sz w:val="21"/>
          <w:szCs w:val="21"/>
          <w:rtl/>
        </w:rPr>
        <w:t xml:space="preserve">DOC-S07 — تقييم أثر الخصوصية وحماية البيانات الشخصية</w:t>
      </w:r>
      <w:r>
        <w:rPr>
          <w:rFonts w:ascii="Arial" w:cs="Arial" w:eastAsia="Arial" w:hAnsi="Arial"/>
          <w:b w:val="false"/>
          <w:bCs w:val="false"/>
          <w:sz w:val="21"/>
          <w:szCs w:val="21"/>
          <w:rtl/>
        </w:rPr>
        <w:t xml:space="preserve"> (7)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2308"/>
        <w:gridCol w:w="1678"/>
        <w:gridCol w:w="4200"/>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42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w:t>
            </w:r>
          </w:p>
        </w:tc>
        <w:tc>
          <w:tcPr>
            <w:tcW w:type="dxa" w:w="2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دولة VPS الإنتاج</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تُختار بعد رأي قانوني لكل دولة مستهدفة</w:t>
            </w:r>
          </w:p>
        </w:tc>
        <w:tc>
          <w:tcPr>
            <w:tcW w:type="dxa" w:w="4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تحميل بيانات حقيقية (ADR 0001)</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DQ-S07-2</w:t>
            </w:r>
          </w:p>
        </w:tc>
        <w:tc>
          <w:tcPr>
            <w:tcW w:type="dxa" w:w="2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دولة الموقع المنفصل للنسخ ومخزن المفاتيح</w:t>
            </w:r>
          </w:p>
        </w:tc>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الدولة نفسها أو دولة يقبلها الرأي القانوني</w:t>
            </w:r>
          </w:p>
        </w:tc>
        <w:tc>
          <w:tcPr>
            <w:tcW w:type="dxa" w:w="4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DOC-S02</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DQ-S07-3</w:t>
            </w:r>
          </w:p>
        </w:tc>
        <w:tc>
          <w:tcPr>
            <w:tcW w:type="dxa" w:w="2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(Controller وProcessor) والعقد مع المشترك وقائمة المعالجين الفرعيين</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الافتراض في القسم 2، وملحق معالجة في عقد الاشتراك</w:t>
            </w:r>
          </w:p>
        </w:tc>
        <w:tc>
          <w:tcPr>
            <w:tcW w:type="dxa" w:w="4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الإطلاق التجريبي</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DQ-S07-5</w:t>
            </w:r>
          </w:p>
        </w:tc>
        <w:tc>
          <w:tcPr>
            <w:tcW w:type="dxa" w:w="2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«مقيَّد المعالجة» على Party</w:t>
            </w:r>
          </w:p>
        </w:tc>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في S1</w:t>
            </w:r>
          </w:p>
        </w:tc>
        <w:tc>
          <w:tcPr>
            <w:tcW w:type="dxa" w:w="4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DQ-S07-7</w:t>
            </w:r>
          </w:p>
        </w:tc>
        <w:tc>
          <w:tcPr>
            <w:tcW w:type="dxa" w:w="2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اتصال الخصوصية لكل مشترك</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إلزامي عند التهيئة</w:t>
            </w:r>
          </w:p>
        </w:tc>
        <w:tc>
          <w:tcPr>
            <w:tcW w:type="dxa" w:w="4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DQ-S07-8</w:t>
            </w:r>
          </w:p>
        </w:tc>
        <w:tc>
          <w:tcPr>
            <w:tcW w:type="dxa" w:w="2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 لكل فئة</w:t>
            </w:r>
          </w:p>
        </w:tc>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الاحتفاظ في القسم 4</w:t>
            </w:r>
          </w:p>
        </w:tc>
        <w:tc>
          <w:tcPr>
            <w:tcW w:type="dxa" w:w="4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 O-6 (20-database-design)</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DQ-S07-9</w:t>
            </w:r>
          </w:p>
        </w:tc>
        <w:tc>
          <w:tcPr>
            <w:tcW w:type="dxa" w:w="2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بيانات شخص واحد</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متطلب جديد في S1 أو S2</w:t>
            </w:r>
          </w:p>
        </w:tc>
        <w:tc>
          <w:tcPr>
            <w:tcW w:type="dxa" w:w="4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 الاطلاع</w:t>
            </w:r>
          </w:p>
        </w:tc>
      </w:tr>
    </w:tbl>
    <w:p>
      <w:pPr>
        <w:bidi/>
        <w:spacing w:after="120" w:before="0"/>
      </w:pPr>
    </w:p>
    <w:p>
      <w:pPr>
        <w:bidi/>
        <w:spacing w:after="110" w:before="0" w:line="312"/>
      </w:pPr>
      <w:r>
        <w:rPr>
          <w:rFonts w:ascii="Arial" w:cs="Arial" w:eastAsia="Arial" w:hAnsi="Arial"/>
          <w:b/>
          <w:bCs/>
          <w:sz w:val="21"/>
          <w:szCs w:val="21"/>
          <w:rtl/>
        </w:rPr>
        <w:t xml:space="preserve">DOC-S08 — نموذج الوصول إلى قاعدة البيانات وبيانات اعتمادها</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2"/>
        <w:gridCol w:w="3288"/>
        <w:gridCol w:w="2740"/>
        <w:gridCol w:w="1644"/>
      </w:tblGrid>
      <w:tr>
        <w:trPr>
          <w:cantSplit/>
          <w:tblHeader/>
        </w:trPr>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DQ-S08-6</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غرض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w:t>
            </w:r>
          </w:p>
        </w:tc>
        <w:tc>
          <w:tcPr>
            <w:tcW w:type="dxa" w:w="2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حساب له حتى تُحسم حالة استعمال؛ تقارير المشترك تمر بالتطبيق بربط عادي</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تقارير S5</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DQ-S08-9</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سياسة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والطوارئ؟</w:t>
            </w:r>
          </w:p>
        </w:tc>
        <w:tc>
          <w:tcPr>
            <w:tcW w:type="dxa" w:w="2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وإعادة تسميته، وحساب </w:t>
            </w:r>
            <w:r>
              <w:rPr>
                <w:rFonts w:ascii="Courier New" w:cs="Courier New" w:eastAsia="Courier New" w:hAnsi="Courier New"/>
                <w:b w:val="false"/>
                <w:bCs w:val="false"/>
                <w:color w:val="1F2937"/>
                <w:sz w:val="16"/>
                <w:szCs w:val="16"/>
                <w:shd w:fill="F1F3F5" w:color="auto" w:val="clear"/>
                <w:rtl/>
              </w:rPr>
              <w:t xml:space="preserve">‎breakglass‎</w:t>
            </w:r>
            <w:r>
              <w:rPr>
                <w:rFonts w:ascii="Arial" w:cs="Arial" w:eastAsia="Arial" w:hAnsi="Arial"/>
                <w:b w:val="false"/>
                <w:bCs w:val="false"/>
                <w:sz w:val="18"/>
                <w:szCs w:val="18"/>
                <w:rtl/>
              </w:rPr>
              <w:t xml:space="preserve"> بسر مقسوم بين أمينين</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VPS</w:t>
            </w:r>
          </w:p>
        </w:tc>
      </w:tr>
    </w:tbl>
    <w:p>
      <w:pPr>
        <w:bidi/>
        <w:spacing w:after="120" w:before="0"/>
      </w:pPr>
    </w:p>
    <w:p>
      <w:pPr>
        <w:bidi/>
        <w:spacing w:after="110" w:before="0" w:line="312"/>
      </w:pPr>
      <w:r>
        <w:rPr>
          <w:rFonts w:ascii="Arial" w:cs="Arial" w:eastAsia="Arial" w:hAnsi="Arial"/>
          <w:b/>
          <w:bCs/>
          <w:sz w:val="21"/>
          <w:szCs w:val="21"/>
          <w:rtl/>
        </w:rPr>
        <w:t xml:space="preserve">DOC-S09 — خطة النسخ الاحتياطي والاستعادة والتعافي من الكوارث</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37"/>
        <w:gridCol w:w="1637"/>
        <w:gridCol w:w="2291"/>
        <w:gridCol w:w="4299"/>
      </w:tblGrid>
      <w:tr>
        <w:trPr>
          <w:cantSplit/>
          <w:tblHeader/>
        </w:trPr>
        <w:tc>
          <w:tcPr>
            <w:tcW w:type="dxa" w:w="16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6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2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42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DQ-S09-1</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 15 دقيقة وRTO ≤ 4 ساعات مع توفر 99.5%</w:t>
            </w:r>
          </w:p>
        </w:tc>
        <w:tc>
          <w:tcPr>
            <w:tcW w:type="dxa" w:w="22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RTO 4 ساعات مع قبول أن كارثة واحدة تكسر هدف التوفر في شهرها، ومراجعة بعد أول تمرين</w:t>
            </w:r>
          </w:p>
        </w:tc>
        <w:tc>
          <w:tcPr>
            <w:tcW w:type="dxa" w:w="4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O-14 (20-database-design)، DOC-B03</w:t>
            </w:r>
          </w:p>
        </w:tc>
      </w:tr>
      <w:tr>
        <w:trPr>
          <w:cantSplit/>
        </w:trPr>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DQ-S09-2</w:t>
            </w:r>
          </w:p>
        </w:tc>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المنفصل ومزوّده ودولته</w:t>
            </w:r>
          </w:p>
        </w:tc>
        <w:tc>
          <w:tcPr>
            <w:tcW w:type="dxa" w:w="22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مختلف عن مزوّد VPS، في دولة يقبلها الرأي القانوني</w:t>
            </w:r>
          </w:p>
        </w:tc>
        <w:tc>
          <w:tcPr>
            <w:tcW w:type="dxa" w:w="4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تحميل بيانات حقيقية</w:t>
            </w:r>
          </w:p>
        </w:tc>
      </w:tr>
      <w:tr>
        <w:trPr>
          <w:cantSplit/>
        </w:trPr>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DQ-S09-3</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مشترك واحد</w:t>
            </w:r>
          </w:p>
        </w:tc>
        <w:tc>
          <w:tcPr>
            <w:tcW w:type="dxa" w:w="22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خدمة حتى S5؛ استعادة كاملة للكوارث فقط</w:t>
            </w:r>
          </w:p>
        </w:tc>
        <w:tc>
          <w:tcPr>
            <w:tcW w:type="dxa" w:w="4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الخدمة</w:t>
            </w:r>
          </w:p>
        </w:tc>
      </w:tr>
      <w:tr>
        <w:trPr>
          <w:cantSplit/>
        </w:trPr>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DQ-S09-5</w:t>
            </w:r>
          </w:p>
        </w:tc>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w:t>
            </w:r>
          </w:p>
        </w:tc>
        <w:tc>
          <w:tcPr>
            <w:tcW w:type="dxa" w:w="22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يومًا للاستعادة النقطية و12 شهرًا للنسخ الشهرية، بلا نسخ سنوية</w:t>
            </w:r>
          </w:p>
        </w:tc>
        <w:tc>
          <w:tcPr>
            <w:tcW w:type="dxa" w:w="4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w:t>
            </w:r>
          </w:p>
        </w:tc>
      </w:tr>
      <w:tr>
        <w:trPr>
          <w:cantSplit/>
        </w:trPr>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DQ-S09-6</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لقطات VPS من المزوّد</w:t>
            </w:r>
          </w:p>
        </w:tc>
        <w:tc>
          <w:tcPr>
            <w:tcW w:type="dxa" w:w="22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معطّلة، أو مقيّدة بموافقة المالك ومعاملة نسخة غير مشفّرة</w:t>
            </w:r>
          </w:p>
        </w:tc>
        <w:tc>
          <w:tcPr>
            <w:tcW w:type="dxa" w:w="4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r>
        <w:trPr>
          <w:cantSplit/>
        </w:trPr>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DQ-S09-7</w:t>
            </w:r>
          </w:p>
        </w:tc>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احتياطي جاهز بنقل السجلات إليه</w:t>
            </w:r>
          </w:p>
        </w:tc>
        <w:tc>
          <w:tcPr>
            <w:tcW w:type="dxa" w:w="22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الآن؛ يُعاد النظر إن لم يحقق التمرين RTO</w:t>
            </w:r>
          </w:p>
        </w:tc>
        <w:tc>
          <w:tcPr>
            <w:tcW w:type="dxa" w:w="4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RTO</w:t>
            </w:r>
          </w:p>
        </w:tc>
      </w:tr>
    </w:tbl>
    <w:p>
      <w:pPr>
        <w:bidi/>
        <w:spacing w:after="120" w:before="0"/>
      </w:pPr>
    </w:p>
    <w:p>
      <w:pPr>
        <w:bidi/>
        <w:spacing w:after="110" w:before="0" w:line="312"/>
      </w:pPr>
      <w:r>
        <w:rPr>
          <w:rFonts w:ascii="Arial" w:cs="Arial" w:eastAsia="Arial" w:hAnsi="Arial"/>
          <w:b/>
          <w:bCs/>
          <w:sz w:val="21"/>
          <w:szCs w:val="21"/>
          <w:rtl/>
        </w:rPr>
        <w:t xml:space="preserve">DOC-B02 — سجل سيناريوهات القبول للشريحتين S0 وS1</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3148"/>
        <w:gridCol w:w="3360"/>
        <w:gridCol w:w="1678"/>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1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DQ-B02-2</w:t>
            </w:r>
          </w:p>
        </w:tc>
        <w:tc>
          <w:tcPr>
            <w:tcW w:type="dxa" w:w="31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الرجوع في الإشعار حين يغيب قالب لغة المستلم</w:t>
            </w:r>
          </w:p>
        </w:tc>
        <w:tc>
          <w:tcPr>
            <w:tcW w:type="dxa" w:w="3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اللغة الأساس</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DQ-B02-3</w:t>
            </w:r>
          </w:p>
        </w:tc>
        <w:tc>
          <w:tcPr>
            <w:tcW w:type="dxa" w:w="31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النتيجة المتوقعة لدخول مستخدم غير مدير الحساب إلى مشترك SUSPENDED</w:t>
            </w:r>
          </w:p>
        </w:tc>
        <w:tc>
          <w:tcPr>
            <w:tcW w:type="dxa" w:w="3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تتبع قرار O-18 (erd_open_items)</w:t>
            </w:r>
          </w:p>
        </w:tc>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AC-PLT-6</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DQ-B02-4</w:t>
            </w:r>
          </w:p>
        </w:tc>
        <w:tc>
          <w:tcPr>
            <w:tcW w:type="dxa" w:w="31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يُسمح بالفجوات في الترقيم (O-12، erd_open_items)</w:t>
            </w:r>
          </w:p>
        </w:tc>
        <w:tc>
          <w:tcPr>
            <w:tcW w:type="dxa" w:w="3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فجوات للطلبات والبروفورما كما في Q-PLT-08، وإلا يُعدَّل AC-PLT-3</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AC-PLT-3</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DQ-B02-5</w:t>
            </w:r>
          </w:p>
        </w:tc>
        <w:tc>
          <w:tcPr>
            <w:tcW w:type="dxa" w:w="31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الأولوية على الخروج</w:t>
            </w:r>
          </w:p>
        </w:tc>
        <w:tc>
          <w:tcPr>
            <w:tcW w:type="dxa" w:w="3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 يوقف الخروج، وShould يوقفه إلا بتأجيل مكتوب، وCould لا يوقفه</w:t>
            </w:r>
          </w:p>
        </w:tc>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bl>
    <w:p>
      <w:pPr>
        <w:bidi/>
        <w:spacing w:after="120" w:before="0"/>
      </w:pPr>
    </w:p>
    <w:p>
      <w:pPr>
        <w:bidi/>
        <w:spacing w:after="110" w:before="0" w:line="312"/>
      </w:pPr>
      <w:r>
        <w:rPr>
          <w:rFonts w:ascii="Arial" w:cs="Arial" w:eastAsia="Arial" w:hAnsi="Arial"/>
          <w:b/>
          <w:bCs/>
          <w:sz w:val="21"/>
          <w:szCs w:val="21"/>
          <w:rtl/>
        </w:rPr>
        <w:t xml:space="preserve">DOC-B03 — مواصفة المتطلبات غير الوظيفية</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5653"/>
        <w:gridCol w:w="1351"/>
        <w:gridCol w:w="1883"/>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6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13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DQ-B03-1</w:t>
            </w:r>
          </w:p>
        </w:tc>
        <w:tc>
          <w:tcPr>
            <w:tcW w:type="dxa" w:w="5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يطلب «عربية RTL كاملة» (docs/10-detailed-analysis/00-overview-and-cross-cutting.md:172)، وقرار 2026-10-10 يجعل الإنجليزية الأساس والعربية لاحقًا</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مسجَّل ومحسوم: الإنجليزية LTR الآن مع تخطيط جاهز لـ RTL (NFR-ACC-04 وNFR-I18N-01 و02)، والعربية الكاملة إصدار لاحق؛ ويُصحَّح نص السطر 172</w:t>
            </w:r>
          </w:p>
        </w:tc>
        <w:tc>
          <w:tcPr>
            <w:tcW w:type="dxa" w:w="1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S0</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DQ-B03-2</w:t>
            </w:r>
          </w:p>
        </w:tc>
        <w:tc>
          <w:tcPr>
            <w:tcW w:type="dxa" w:w="5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 15 دقيقة وRTO ≤ 4 ساعات</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اعتمادهما مع شرط النسخ خارج الخادم، وتثبيتهما بعد أول تمرين استعادة مقاس</w:t>
            </w:r>
          </w:p>
        </w:tc>
        <w:tc>
          <w:tcPr>
            <w:tcW w:type="dxa" w:w="1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الإطلاق، O-14 (20-database-design)</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DQ-B03-3</w:t>
            </w:r>
          </w:p>
        </w:tc>
        <w:tc>
          <w:tcPr>
            <w:tcW w:type="dxa" w:w="5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99.5% مع خادم واحد وRTO 4 ساعات: استعادة كاملة واحدة تتجاوز ميزانية الشهر</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الإبقاء على الرقمين، وتسجيل الشهر الذي تقع فيه استعادة كاملة خرقًا معلنًا، ومراجعتهما بعد التمرين</w:t>
            </w:r>
          </w:p>
        </w:tc>
        <w:tc>
          <w:tcPr>
            <w:tcW w:type="dxa" w:w="1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NFR-AVL-01</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DQ-B03-4</w:t>
            </w:r>
          </w:p>
        </w:tc>
        <w:tc>
          <w:tcPr>
            <w:tcW w:type="dxa" w:w="5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تفسير «عشرات الآلاف» و«مئات المشتركين»</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50,000 سجل لكل جدول رئيسي لكل مشترك، و300 مشترك</w:t>
            </w:r>
          </w:p>
        </w:tc>
        <w:tc>
          <w:tcPr>
            <w:tcW w:type="dxa" w:w="1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NFR-PERF-01، NFR-SCL</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DQ-B03-6</w:t>
            </w:r>
          </w:p>
        </w:tc>
        <w:tc>
          <w:tcPr>
            <w:tcW w:type="dxa" w:w="5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معيار إمكانية الوصول</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WCAG 2.1 المستوى AA</w:t>
            </w:r>
          </w:p>
        </w:tc>
        <w:tc>
          <w:tcPr>
            <w:tcW w:type="dxa" w:w="1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NFR-ACC-01</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DQ-B03-8</w:t>
            </w:r>
          </w:p>
        </w:tc>
        <w:tc>
          <w:tcPr>
            <w:tcW w:type="dxa" w:w="5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الرجوع في الإشعار</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(DQ-B02-2)</w:t>
            </w:r>
          </w:p>
        </w:tc>
        <w:tc>
          <w:tcPr>
            <w:tcW w:type="dxa" w:w="1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NFR-I18N-07</w:t>
            </w:r>
          </w:p>
        </w:tc>
      </w:tr>
    </w:tbl>
    <w:p>
      <w:pPr>
        <w:bidi/>
        <w:spacing w:after="120" w:before="0"/>
      </w:pPr>
    </w:p>
    <w:p>
      <w:pPr>
        <w:bidi/>
        <w:spacing w:after="110" w:before="0" w:line="312"/>
      </w:pPr>
      <w:r>
        <w:rPr>
          <w:rFonts w:ascii="Arial" w:cs="Arial" w:eastAsia="Arial" w:hAnsi="Arial"/>
          <w:b/>
          <w:bCs/>
          <w:sz w:val="21"/>
          <w:szCs w:val="21"/>
          <w:rtl/>
        </w:rPr>
        <w:t xml:space="preserve">DOC-B05 — خطة البذر والترحيل الأولي</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29"/>
        <w:gridCol w:w="2144"/>
        <w:gridCol w:w="3218"/>
        <w:gridCol w:w="2573"/>
      </w:tblGrid>
      <w:tr>
        <w:trPr>
          <w:cantSplit/>
          <w:tblHeader/>
        </w:trPr>
        <w:tc>
          <w:tcPr>
            <w:tcW w:type="dxa" w:w="1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2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5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DQ-B05-4</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الباقات الأولى</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باقة واحدة STANDARD بكل الوحدات وبلا حدود</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مشترك في S0</w:t>
            </w:r>
          </w:p>
        </w:tc>
      </w:tr>
      <w:tr>
        <w:trPr>
          <w:cantSplit/>
        </w:trPr>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DQ-B05-5</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الدول والعملات كاملة أم جزئية</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كاملة بعلم IsActive، وإصدار ISO مسجَّل</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DQ-B05-6</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الأشكال القانونية والمناصب وأنواع الصلاحيات (Q-CAT-03، Q-ORG-10)</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أشكال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تُبذر، وPARTNERSHIP وFOREIGN_BRANCH بعد إقرار LEG</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CAT.ORG في S1</w:t>
            </w:r>
          </w:p>
        </w:tc>
      </w:tr>
      <w:tr>
        <w:trPr>
          <w:cantSplit/>
        </w:trPr>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DQ-B05-8</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متطلب FR لقوالب Excel</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متطلبات استيراد للشركات (10) وللمنشآت والعلاقات والحسابات (11) بأولوية Should في S1</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DQ-B05-11</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الدول (Q-CAT-01)</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واحدة للسعودية والخليج</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CAT.ORG وCAT.BANKING</w:t>
            </w:r>
          </w:p>
        </w:tc>
      </w:tr>
      <w:tr>
        <w:trPr>
          <w:cantSplit/>
        </w:trPr>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DQ-B05-12</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أدوار النظام ورموزها الموحدة</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وTM وFO وTE وFA وRQ وAU كما في 12-m5…:46، وRK (مسؤول المخاطر، القرار 35)، وتُثبَّت في 10 §2</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CORE.ROLES في S0؛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مبنية (ADR 0035)</w:t>
            </w:r>
          </w:p>
        </w:tc>
      </w:tr>
    </w:tbl>
    <w:p>
      <w:pPr>
        <w:bidi/>
        <w:spacing w:after="120" w:before="0"/>
      </w:pPr>
    </w:p>
    <w:p>
      <w:pPr>
        <w:bidi/>
        <w:spacing w:after="110" w:before="0" w:line="312"/>
      </w:pPr>
      <w:r>
        <w:rPr>
          <w:rFonts w:ascii="Arial" w:cs="Arial" w:eastAsia="Arial" w:hAnsi="Arial"/>
          <w:b/>
          <w:bCs/>
          <w:sz w:val="21"/>
          <w:szCs w:val="21"/>
          <w:rtl/>
        </w:rPr>
        <w:t xml:space="preserve">DOC-B07 — قائمة شاشات S0 وخريطة التنقل والنماذج الأولية</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76"/>
        <w:gridCol w:w="2076"/>
        <w:gridCol w:w="4155"/>
        <w:gridCol w:w="1557"/>
      </w:tblGrid>
      <w:tr>
        <w:trPr>
          <w:cantSplit/>
          <w:tblHeader/>
        </w:trPr>
        <w:tc>
          <w:tcPr>
            <w:tcW w:type="dxa" w:w="20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DQ-B07-1</w:t>
            </w:r>
          </w:p>
        </w:tc>
        <w:tc>
          <w:tcPr>
            <w:tcW w:type="dxa" w:w="2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سلوك مبدّل الشركة</w:t>
            </w:r>
          </w:p>
        </w:tc>
        <w:tc>
          <w:tcPr>
            <w:tcW w:type="dxa" w:w="4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تضييق فقط، و«All companies in my scope» افتراضيًا، ومخفي في S0</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القشرة في S1</w:t>
            </w:r>
          </w:p>
        </w:tc>
      </w:tr>
      <w:tr>
        <w:trPr>
          <w:cantSplit/>
        </w:trPr>
        <w:tc>
          <w:tcPr>
            <w:tcW w:type="dxa" w:w="2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DQ-B07-4</w:t>
            </w:r>
          </w:p>
        </w:tc>
        <w:tc>
          <w:tcPr>
            <w:tcW w:type="dxa" w:w="2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شريط التنبيه للمشترك المؤرشف والمعلّق وجلسة الدعم</w:t>
            </w:r>
          </w:p>
        </w:tc>
        <w:tc>
          <w:tcPr>
            <w:tcW w:type="dxa" w:w="4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يُعرض دائمًا، والسلوك في SUSPENDED بعد حسم O-18 (erd_open_items)</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القشرة</w:t>
            </w:r>
          </w:p>
        </w:tc>
      </w:tr>
    </w:tbl>
    <w:p>
      <w:pPr>
        <w:bidi/>
        <w:spacing w:after="120" w:before="0"/>
      </w:pPr>
    </w:p>
    <w:p>
      <w:pPr>
        <w:bidi/>
        <w:spacing w:after="110" w:before="0" w:line="312"/>
      </w:pPr>
      <w:r>
        <w:rPr>
          <w:rFonts w:ascii="Arial" w:cs="Arial" w:eastAsia="Arial" w:hAnsi="Arial"/>
          <w:b/>
          <w:bCs/>
          <w:sz w:val="21"/>
          <w:szCs w:val="21"/>
          <w:rtl/>
        </w:rPr>
        <w:t xml:space="preserve">DOC-B09 — مصفوفة المسؤوليات وسجل ملكية القرارات</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9"/>
        <w:gridCol w:w="4372"/>
        <w:gridCol w:w="2496"/>
        <w:gridCol w:w="1997"/>
      </w:tblGrid>
      <w:tr>
        <w:trPr>
          <w:cantSplit/>
          <w:tblHeader/>
        </w:trPr>
        <w:tc>
          <w:tcPr>
            <w:tcW w:type="dxa" w:w="9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3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4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DQ-B09-1</w:t>
            </w:r>
          </w:p>
        </w:tc>
        <w:tc>
          <w:tcPr>
            <w:tcW w:type="dxa" w:w="4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OWN وTRM شخص واحد لدى العميل؟ السجل يسمّي مدير الخزينة صاحب القرار (docs/30-readiness-documents.md:55)</w:t>
            </w:r>
          </w:p>
        </w:tc>
        <w:tc>
          <w:tcPr>
            <w:tcW w:type="dxa" w:w="24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دوران منفصلان. إن شغلهما شخص واحد يعتمد SEC أو SA ما يقترحه هذا الشخص تقنيًا، ويُسجَّل الاستثناء لغيره</w:t>
            </w:r>
          </w:p>
        </w:tc>
        <w:tc>
          <w:tcPr>
            <w:tcW w:type="dxa" w:w="1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خانات A</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DQ-B09-2</w:t>
            </w:r>
          </w:p>
        </w:tc>
        <w:tc>
          <w:tcPr>
            <w:tcW w:type="dxa" w:w="4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المالك في سجل الأسئلة</w:t>
            </w:r>
          </w:p>
        </w:tc>
        <w:tc>
          <w:tcPr>
            <w:tcW w:type="dxa" w:w="24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ثلاثة أعمدة في §14 لكل مواصفة وتعديل tools/gen_indexes.py (§7.1)</w:t>
            </w:r>
          </w:p>
        </w:tc>
        <w:tc>
          <w:tcPr>
            <w:tcW w:type="dxa" w:w="1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O-07 (erd_open_items)</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DQ-B09-4</w:t>
            </w:r>
          </w:p>
        </w:tc>
        <w:tc>
          <w:tcPr>
            <w:tcW w:type="dxa" w:w="4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إيقاع مراجعة القرارات</w:t>
            </w:r>
          </w:p>
        </w:tc>
        <w:tc>
          <w:tcPr>
            <w:tcW w:type="dxa" w:w="24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أسبوعية يقودها PM، والمتأخر عن بدء شريحته يُصعَّد إلى OWN</w:t>
            </w:r>
          </w:p>
        </w:tc>
        <w:tc>
          <w:tcPr>
            <w:tcW w:type="dxa" w:w="1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bl>
    <w:p>
      <w:pPr>
        <w:bidi/>
        <w:spacing w:after="120" w:before="0"/>
      </w:pPr>
    </w:p>
    <w:p>
      <w:pPr>
        <w:bidi/>
        <w:spacing w:after="110" w:before="0" w:line="312"/>
      </w:pPr>
      <w:r>
        <w:rPr>
          <w:rFonts w:ascii="Arial" w:cs="Arial" w:eastAsia="Arial" w:hAnsi="Arial"/>
          <w:b/>
          <w:bCs/>
          <w:sz w:val="21"/>
          <w:szCs w:val="21"/>
          <w:rtl/>
        </w:rPr>
        <w:t xml:space="preserve">DOC-B10 — المسرد ثنائي اللغة (English / العربية)</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78"/>
        <w:gridCol w:w="2348"/>
        <w:gridCol w:w="3290"/>
        <w:gridCol w:w="2348"/>
      </w:tblGrid>
      <w:tr>
        <w:trPr>
          <w:cantSplit/>
          <w:tblHeader/>
        </w:trPr>
        <w:tc>
          <w:tcPr>
            <w:tcW w:type="dxa" w:w="1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2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3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DQ-B10-1</w:t>
            </w:r>
          </w:p>
        </w:tc>
        <w:tc>
          <w:tcPr>
            <w:tcW w:type="dxa" w:w="2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الاسم الإنجليزي لدور TA</w:t>
            </w:r>
          </w:p>
        </w:tc>
        <w:tc>
          <w:tcPr>
            <w:tcW w:type="dxa" w:w="3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administrator، والعربي «مدير حساب المشترك»</w:t>
            </w:r>
          </w:p>
        </w:tc>
        <w:tc>
          <w:tcPr>
            <w:tcW w:type="dxa" w:w="2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الأدوار، SCR-PLT-08</w:t>
            </w:r>
          </w:p>
        </w:tc>
      </w:tr>
      <w:tr>
        <w:trPr>
          <w:cantSplit/>
        </w:trPr>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DQ-B10-9</w:t>
            </w:r>
          </w:p>
        </w:tc>
        <w:tc>
          <w:tcPr>
            <w:tcW w:type="dxa" w:w="2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تهجئة الإنجليزية في الواجهة</w:t>
            </w:r>
          </w:p>
        </w:tc>
        <w:tc>
          <w:tcPr>
            <w:tcW w:type="dxa" w:w="3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البريطانية، مع إبقاء المعرّفات البرمجية</w:t>
            </w:r>
          </w:p>
        </w:tc>
        <w:tc>
          <w:tcPr>
            <w:tcW w:type="dxa" w:w="2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الموارد</w:t>
            </w:r>
          </w:p>
        </w:tc>
      </w:tr>
    </w:tbl>
    <w:p>
      <w:pPr>
        <w:bidi/>
        <w:spacing w:after="120" w:before="0"/>
      </w:pPr>
    </w:p>
    <w:p>
      <w:pPr>
        <w:bidi/>
        <w:spacing w:after="110" w:before="0" w:line="312"/>
      </w:pPr>
      <w:r>
        <w:rPr>
          <w:rFonts w:ascii="Arial" w:cs="Arial" w:eastAsia="Arial" w:hAnsi="Arial"/>
          <w:b/>
          <w:bCs/>
          <w:sz w:val="21"/>
          <w:szCs w:val="21"/>
          <w:rtl/>
        </w:rPr>
        <w:t xml:space="preserve">DOC-B11 — مواصفة البيئات والبناء والإصدار</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43"/>
        <w:gridCol w:w="1429"/>
        <w:gridCol w:w="5863"/>
        <w:gridCol w:w="1429"/>
      </w:tblGrid>
      <w:tr>
        <w:trPr>
          <w:cantSplit/>
          <w:tblHeader/>
        </w:trPr>
        <w:tc>
          <w:tcPr>
            <w:tcW w:type="dxa" w:w="11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نظام طبقة التطبيق بعد ADR 0001</w:t>
            </w:r>
          </w:p>
        </w:tc>
        <w:tc>
          <w:tcPr>
            <w:tcW w:type="dxa" w:w="5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Windows Server حتى المراجعة، وحزمة .NET تُبنى لتعمل على النظامين؛ والمراجعة تقارن به Ubuntu 24.04 LTS الذي يوحّد المضيفين ويعمل عليه الفريق (docs/adr/0001-schema-work-on-linux.md:7)</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بيئة الاختبار، بوابة G4</w:t>
            </w:r>
          </w:p>
        </w:tc>
      </w:tr>
      <w:tr>
        <w:trPr>
          <w:cantSplit/>
        </w:trPr>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DQ-B11-2</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واحد للتطبيق والقاعدة أم خادمان</w:t>
            </w:r>
          </w:p>
        </w:tc>
        <w:tc>
          <w:tcPr>
            <w:tcW w:type="dxa" w:w="5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مستقل للقاعدة وآخر للتطبيق</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التجهيز، NFR-AVL</w:t>
            </w:r>
          </w:p>
        </w:tc>
      </w:tr>
      <w:tr>
        <w:trPr>
          <w:cantSplit/>
        </w:trPr>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DQ-B11-3</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استضافة الاختبار وUAT ونطاقاهما</w:t>
            </w:r>
          </w:p>
        </w:tc>
        <w:tc>
          <w:tcPr>
            <w:tcW w:type="dxa" w:w="5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لكل منهما لدى المزوّد نفسه، ونطاقان فرعيان مثل </w:t>
            </w:r>
            <w:r>
              <w:rPr>
                <w:rFonts w:ascii="Courier New" w:cs="Courier New" w:eastAsia="Courier New" w:hAnsi="Courier New"/>
                <w:b w:val="false"/>
                <w:bCs w:val="false"/>
                <w:color w:val="1F2937"/>
                <w:sz w:val="16"/>
                <w:szCs w:val="16"/>
                <w:shd w:fill="F1F3F5" w:color="auto" w:val="clear"/>
                <w:rtl/>
              </w:rPr>
              <w:t xml:space="preserve">‎{tenant}.test.bankfas.com‎</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‎{tenant}.uat.bankfas.com‎</w:t>
            </w:r>
            <w:r>
              <w:rPr>
                <w:rFonts w:ascii="Arial" w:cs="Arial" w:eastAsia="Arial" w:hAnsi="Arial"/>
                <w:b w:val="false"/>
                <w:bCs w:val="false"/>
                <w:sz w:val="18"/>
                <w:szCs w:val="18"/>
                <w:rtl/>
              </w:rPr>
              <w:t xml:space="preserve"> بشهادتين شاملتين مستقلتين</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اختبار خروج S0</w:t>
            </w:r>
          </w:p>
        </w:tc>
      </w:tr>
      <w:tr>
        <w:trPr>
          <w:cantSplit/>
        </w:trPr>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DQ-B11-8</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مصير deploy.ps1</w:t>
            </w:r>
          </w:p>
        </w:tc>
        <w:tc>
          <w:tcPr>
            <w:tcW w:type="dxa" w:w="5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خارج مسار الإنتاج بلا اختبار حتى يطلب مشترك خادم Windows</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r>
    </w:tbl>
    <w:p>
      <w:pPr>
        <w:bidi/>
        <w:spacing w:after="120" w:before="0"/>
      </w:pPr>
    </w:p>
    <w:p>
      <w:pPr>
        <w:pStyle w:val="Heading2"/>
        <w:bidi/>
      </w:pPr>
      <w:bookmarkStart w:name="_sec9" w:id="9"/>
      <w:r>
        <w:rPr>
          <w:rFonts w:ascii="Arial" w:cs="Arial" w:eastAsia="Arial" w:hAnsi="Arial"/>
          <w:b/>
          <w:bCs/>
          <w:color w:val="2B5C8A"/>
          <w:sz w:val="26"/>
          <w:szCs w:val="26"/>
          <w:rtl/>
        </w:rPr>
        <w:t xml:space="preserve">3.2 مستندات P1 (قبل S2 وS3)</w:t>
      </w:r>
      <w:bookmarkEnd w:id="9"/>
    </w:p>
    <w:p>
      <w:pPr>
        <w:bidi/>
        <w:spacing w:after="110" w:before="0" w:line="312"/>
      </w:pPr>
      <w:r>
        <w:rPr>
          <w:rFonts w:ascii="Arial" w:cs="Arial" w:eastAsia="Arial" w:hAnsi="Arial"/>
          <w:b/>
          <w:bCs/>
          <w:sz w:val="21"/>
          <w:szCs w:val="21"/>
          <w:rtl/>
        </w:rPr>
        <w:t xml:space="preserve">DOC-F09 — كتالوج حالات الاستخدام: المنشآت والحسابات والكتالوجات والتسهيلات والطلبات والاعتمادات (M2 إلى M8)</w:t>
      </w:r>
      <w:r>
        <w:rPr>
          <w:rFonts w:ascii="Arial" w:cs="Arial" w:eastAsia="Arial" w:hAnsi="Arial"/>
          <w:b w:val="false"/>
          <w:bCs w:val="false"/>
          <w:sz w:val="21"/>
          <w:szCs w:val="21"/>
          <w:rtl/>
        </w:rPr>
        <w:t xml:space="preserve"> (5)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60"/>
        <w:gridCol w:w="2040"/>
        <w:gridCol w:w="4084"/>
        <w:gridCol w:w="2380"/>
      </w:tblGrid>
      <w:tr>
        <w:trPr>
          <w:cantSplit/>
          <w:tblHeader/>
        </w:trPr>
        <w:tc>
          <w:tcPr>
            <w:tcW w:type="dxa" w:w="1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0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DQ-F09-1</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الرموز الأربعة المقترحة في §3.2</w:t>
            </w:r>
          </w:p>
        </w:tc>
        <w:tc>
          <w:tcPr>
            <w:tcW w:type="dxa" w:w="4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تُعتمد كما هي؛ </w:t>
            </w:r>
            <w:r>
              <w:rPr>
                <w:rFonts w:ascii="Courier New" w:cs="Courier New" w:eastAsia="Courier New" w:hAnsi="Courier New"/>
                <w:b w:val="false"/>
                <w:bCs w:val="false"/>
                <w:color w:val="1F2937"/>
                <w:sz w:val="16"/>
                <w:szCs w:val="16"/>
                <w:shd w:fill="F1F3F5" w:color="auto" w:val="clear"/>
                <w:rtl/>
              </w:rPr>
              <w:t xml:space="preserve">‎acc.signature.image.view‎</w:t>
            </w:r>
            <w:r>
              <w:rPr>
                <w:rFonts w:ascii="Arial" w:cs="Arial" w:eastAsia="Arial" w:hAnsi="Arial"/>
                <w:b w:val="false"/>
                <w:bCs w:val="false"/>
                <w:sz w:val="18"/>
                <w:szCs w:val="18"/>
                <w:rtl/>
              </w:rPr>
              <w:t xml:space="preserve"> مقفلة على TM وFO كبقية صلاحيات الصور (BR-PLT-019)</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sec.Permission (DOC-B05)؛ UC-FAC-07، UC-CMP-01، UC-ACC-04، UC-WFL-18</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DQ-F09-5</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شريحة FR-ACC-022 (S1) وحقلها على سجل المفوّض (S1-ب)</w:t>
            </w:r>
          </w:p>
        </w:tc>
        <w:tc>
          <w:tcPr>
            <w:tcW w:type="dxa" w:w="40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تُنقل إلى S1-ب، ويُنقل AC-ACC-6 معها</w:t>
            </w:r>
          </w:p>
        </w:tc>
        <w:tc>
          <w:tcPr>
            <w:tcW w:type="dxa" w:w="2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معايير خروج S1 (DOC-B02)</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DQ-F09-6</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تمنع نتيجة INSUFFICIENT لكفاية التوقيعات إكمال التنفيذ؟</w:t>
            </w:r>
          </w:p>
        </w:tc>
        <w:tc>
          <w:tcPr>
            <w:tcW w:type="dxa" w:w="4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تحذير يُقرّ به المنفّذ ويُسجَّل مع الطلب، والمنع إعداد لكل مشترك لاحقًا</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UC-ACC-12، UC-WFL-08، UC-LCI-04</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DQ-F09-8</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الدور FA (المحلل المالي)</w:t>
            </w:r>
          </w:p>
        </w:tc>
        <w:tc>
          <w:tcPr>
            <w:tcW w:type="dxa" w:w="40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نظام في COVENANTS بـ </w:t>
            </w:r>
            <w:r>
              <w:rPr>
                <w:rFonts w:ascii="Courier New" w:cs="Courier New" w:eastAsia="Courier New" w:hAnsi="Courier New"/>
                <w:b w:val="false"/>
                <w:bCs w:val="false"/>
                <w:color w:val="1F2937"/>
                <w:sz w:val="16"/>
                <w:szCs w:val="16"/>
                <w:shd w:fill="F1F3F5" w:color="auto" w:val="clear"/>
                <w:rtl/>
              </w:rPr>
              <w:t xml:space="preserve">‎fin.view‎</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‎fin.stmt.enter‎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‎fin.verify.run‎</w:t>
            </w:r>
          </w:p>
        </w:tc>
        <w:tc>
          <w:tcPr>
            <w:tcW w:type="dxa" w:w="2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UC-FIN-01، UC-FIN-07؛ S2-ب</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DQ-F09-9</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يعلّم مواد UCP «مُتحقَّقة» وبأي صلاحية</w:t>
            </w:r>
          </w:p>
        </w:tc>
        <w:tc>
          <w:tcPr>
            <w:tcW w:type="dxa" w:w="4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 بـ </w:t>
            </w:r>
            <w:r>
              <w:rPr>
                <w:rFonts w:ascii="Courier New" w:cs="Courier New" w:eastAsia="Courier New" w:hAnsi="Courier New"/>
                <w:b w:val="false"/>
                <w:bCs w:val="false"/>
                <w:color w:val="1F2937"/>
                <w:sz w:val="16"/>
                <w:szCs w:val="16"/>
                <w:shd w:fill="F1F3F5" w:color="auto" w:val="clear"/>
                <w:rtl/>
              </w:rPr>
              <w:t xml:space="preserve">‎cat.global.manage‎</w:t>
            </w:r>
            <w:r>
              <w:rPr>
                <w:rFonts w:ascii="Arial" w:cs="Arial" w:eastAsia="Arial" w:hAnsi="Arial"/>
                <w:b w:val="false"/>
                <w:bCs w:val="false"/>
                <w:sz w:val="18"/>
                <w:szCs w:val="18"/>
                <w:rtl/>
              </w:rPr>
              <w:t xml:space="preserve"> بعد مراجعة مختص، من لوحة المشغّل</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UC-LCT-07</w:t>
            </w:r>
          </w:p>
        </w:tc>
      </w:tr>
    </w:tbl>
    <w:p>
      <w:pPr>
        <w:bidi/>
        <w:spacing w:after="120" w:before="0"/>
      </w:pPr>
    </w:p>
    <w:p>
      <w:pPr>
        <w:bidi/>
        <w:spacing w:after="110" w:before="0" w:line="312"/>
      </w:pPr>
      <w:r>
        <w:rPr>
          <w:rFonts w:ascii="Arial" w:cs="Arial" w:eastAsia="Arial" w:hAnsi="Arial"/>
          <w:b/>
          <w:bCs/>
          <w:sz w:val="21"/>
          <w:szCs w:val="21"/>
          <w:rtl/>
        </w:rPr>
        <w:t xml:space="preserve">DOC-F10 — نموذج سير الموافقات (M6): القوالب والمراحل والأدوار وجداول الانتقال</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4"/>
        <w:gridCol w:w="3114"/>
        <w:gridCol w:w="4155"/>
        <w:gridCol w:w="1211"/>
      </w:tblGrid>
      <w:tr>
        <w:trPr>
          <w:cantSplit/>
          <w:tblHeader/>
        </w:trPr>
        <w:tc>
          <w:tcPr>
            <w:tcW w:type="dxa" w:w="1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1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2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DQ-F10-4</w:t>
            </w:r>
          </w:p>
        </w:tc>
        <w:tc>
          <w:tcPr>
            <w:tcW w:type="dxa" w:w="31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يحدث حين لا يوجد مؤهل؟</w:t>
            </w:r>
          </w:p>
        </w:tc>
        <w:tc>
          <w:tcPr>
            <w:tcW w:type="dxa" w:w="4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السلسلة البديلة حتى TA، ثم فتح المرحلة للدور مع حدث إلزامي مقترح REQ.NO_ELIGIBLE_ASSIGNEE لـ TA وTM</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المحرك وكتالوج الأحداث</w:t>
            </w:r>
          </w:p>
        </w:tc>
      </w:tr>
      <w:tr>
        <w:trPr>
          <w:cantSplit/>
        </w:trPr>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DQ-F10-6</w:t>
            </w:r>
          </w:p>
        </w:tc>
        <w:tc>
          <w:tcPr>
            <w:tcW w:type="dxa" w:w="31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يُتاح REJECT في كل مرحلة APPROVAL؟</w:t>
            </w:r>
          </w:p>
        </w:tc>
        <w:tc>
          <w:tcPr>
            <w:tcW w:type="dxa" w:w="4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بسبب إلزامي، في كل مرحلة APPROVAL من كل قالب</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DQ-F10-7</w:t>
            </w:r>
          </w:p>
        </w:tc>
        <w:tc>
          <w:tcPr>
            <w:tcW w:type="dxa" w:w="31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SLA القوالب غير PURCHASE_LC</w:t>
            </w:r>
          </w:p>
        </w:tc>
        <w:tc>
          <w:tcPr>
            <w:tcW w:type="dxa" w:w="4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PURCHASE_LC بحسب نوع المرحلة كما في §12</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لوحات SLA</w:t>
            </w:r>
          </w:p>
        </w:tc>
      </w:tr>
      <w:tr>
        <w:trPr>
          <w:cantSplit/>
        </w:trPr>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DQ-F10-9</w:t>
            </w:r>
          </w:p>
        </w:tc>
        <w:tc>
          <w:tcPr>
            <w:tcW w:type="dxa" w:w="31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يوافق في TM_APPROVAL من أكمل FACILITY_SELECTION للطلب نفسه؟</w:t>
            </w:r>
          </w:p>
        </w:tc>
        <w:tc>
          <w:tcPr>
            <w:tcW w:type="dxa" w:w="4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إلا بالاستثناء </w:t>
            </w:r>
            <w:r>
              <w:rPr>
                <w:rFonts w:ascii="Courier New" w:cs="Courier New" w:eastAsia="Courier New" w:hAnsi="Courier New"/>
                <w:b w:val="false"/>
                <w:bCs w:val="false"/>
                <w:color w:val="1F2937"/>
                <w:sz w:val="16"/>
                <w:szCs w:val="16"/>
                <w:shd w:fill="F1F3F5" w:color="auto" w:val="clear"/>
                <w:rtl/>
              </w:rPr>
              <w:t xml:space="preserve">‎wf.sod.allow_same_person‎</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في S3</w:t>
            </w:r>
          </w:p>
        </w:tc>
      </w:tr>
    </w:tbl>
    <w:p>
      <w:pPr>
        <w:bidi/>
        <w:spacing w:after="120" w:before="0"/>
      </w:pPr>
    </w:p>
    <w:p>
      <w:pPr>
        <w:bidi/>
        <w:spacing w:after="110" w:before="0" w:line="312"/>
      </w:pPr>
      <w:r>
        <w:rPr>
          <w:rFonts w:ascii="Arial" w:cs="Arial" w:eastAsia="Arial" w:hAnsi="Arial"/>
          <w:b/>
          <w:bCs/>
          <w:sz w:val="21"/>
          <w:szCs w:val="21"/>
          <w:rtl/>
        </w:rPr>
        <w:t xml:space="preserve">DOC-F12 — تسلسل إصدار الاعتماد المستندي وتعديله وتحويل الحجز</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19"/>
        <w:gridCol w:w="1193"/>
        <w:gridCol w:w="4878"/>
        <w:gridCol w:w="2574"/>
      </w:tblGrid>
      <w:tr>
        <w:trPr>
          <w:cantSplit/>
          <w:tblHeader/>
        </w:trPr>
        <w:tc>
          <w:tcPr>
            <w:tcW w:type="dxa" w:w="1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1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5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DQ-F12-6</w:t>
            </w:r>
          </w:p>
        </w:tc>
        <w:tc>
          <w:tcPr>
            <w:tcW w:type="dxa" w:w="1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يحدث لاعتماد ينتهي وعليه تمديد صادر من البنك بانتظار الرد؟</w:t>
            </w:r>
          </w:p>
        </w:tc>
        <w:tc>
          <w:tcPr>
            <w:tcW w:type="dxa" w:w="4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تؤجل JOB-LC-EXPIRY انتهاءه ما دام التعديل BANK_ISSUED وأُصدر قبل الانتهاء، وتنبّه TM يوميًا</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JOB-LC-EXPIRY</w:t>
            </w:r>
          </w:p>
        </w:tc>
      </w:tr>
      <w:tr>
        <w:trPr>
          <w:cantSplit/>
        </w:trPr>
        <w:tc>
          <w:tcPr>
            <w:tcW w:type="dxa" w:w="1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DQ-F12-7</w:t>
            </w:r>
          </w:p>
        </w:tc>
        <w:tc>
          <w:tcPr>
            <w:tcW w:type="dxa" w:w="1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يجوز سحب تعديل بعد إصدار البنك له؟</w:t>
            </w:r>
          </w:p>
        </w:tc>
        <w:tc>
          <w:tcPr>
            <w:tcW w:type="dxa" w:w="4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لـ TM فقط، بتأكيد مكتوب من البنك مرفق وسبب.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B7e): </w:t>
            </w:r>
            <w:r>
              <w:rPr>
                <w:rFonts w:ascii="Courier New" w:cs="Courier New" w:eastAsia="Courier New" w:hAnsi="Courier New"/>
                <w:b w:val="false"/>
                <w:bCs w:val="false"/>
                <w:color w:val="1F2937"/>
                <w:sz w:val="16"/>
                <w:szCs w:val="16"/>
                <w:shd w:fill="F1F3F5" w:color="auto" w:val="clear"/>
                <w:rtl/>
              </w:rPr>
              <w:t xml:space="preserve">‎lc.LcAmendment.WithdrawalDocumentId‎</w:t>
            </w:r>
            <w:r>
              <w:rPr>
                <w:rFonts w:ascii="Arial" w:cs="Arial" w:eastAsia="Arial" w:hAnsi="Arial"/>
                <w:b w:val="false"/>
                <w:bCs w:val="false"/>
                <w:sz w:val="18"/>
                <w:szCs w:val="18"/>
                <w:rtl/>
              </w:rPr>
              <w:t xml:space="preserve">، وسحب تعديل له </w:t>
            </w:r>
            <w:r>
              <w:rPr>
                <w:rFonts w:ascii="Courier New" w:cs="Courier New" w:eastAsia="Courier New" w:hAnsi="Courier New"/>
                <w:b w:val="false"/>
                <w:bCs w:val="false"/>
                <w:color w:val="1F2937"/>
                <w:sz w:val="16"/>
                <w:szCs w:val="16"/>
                <w:shd w:fill="F1F3F5" w:color="auto" w:val="clear"/>
                <w:rtl/>
              </w:rPr>
              <w:t xml:space="preserve">‎BankIssuedOn‎</w:t>
            </w:r>
            <w:r>
              <w:rPr>
                <w:rFonts w:ascii="Arial" w:cs="Arial" w:eastAsia="Arial" w:hAnsi="Arial"/>
                <w:b w:val="false"/>
                <w:bCs w:val="false"/>
                <w:sz w:val="18"/>
                <w:szCs w:val="18"/>
                <w:rtl/>
              </w:rPr>
              <w:t xml:space="preserve"> يستلزم الوثيقة والسبب (SR3)؛ وقصره على TM يفحصه التطبيق</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w:t>
            </w:r>
            <w:r>
              <w:rPr>
                <w:rFonts w:ascii="Courier New" w:cs="Courier New" w:eastAsia="Courier New" w:hAnsi="Courier New"/>
                <w:b w:val="false"/>
                <w:bCs w:val="false"/>
                <w:color w:val="1F2937"/>
                <w:sz w:val="16"/>
                <w:szCs w:val="16"/>
                <w:shd w:fill="F1F3F5" w:color="auto" w:val="clear"/>
                <w:rtl/>
              </w:rPr>
              <w:t xml:space="preserve">‎lc.amendment_result‎</w:t>
            </w:r>
          </w:p>
        </w:tc>
      </w:tr>
      <w:tr>
        <w:trPr>
          <w:cantSplit/>
        </w:trPr>
        <w:tc>
          <w:tcPr>
            <w:tcW w:type="dxa" w:w="1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DQ-F12-8</w:t>
            </w:r>
          </w:p>
        </w:tc>
        <w:tc>
          <w:tcPr>
            <w:tcW w:type="dxa" w:w="1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شروط تطبيق تعديل الإلغاء؟</w:t>
            </w:r>
          </w:p>
        </w:tc>
        <w:tc>
          <w:tcPr>
            <w:tcW w:type="dxa" w:w="4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حارس الإغلاق V-LCI-09؛ وإلا يُرفض التطبيق حتى التسديد. عند القبول: CANCELLED و</w:t>
            </w:r>
            <w:r>
              <w:rPr>
                <w:rFonts w:ascii="Courier New" w:cs="Courier New" w:eastAsia="Courier New" w:hAnsi="Courier New"/>
                <w:b w:val="false"/>
                <w:bCs w:val="false"/>
                <w:color w:val="1F2937"/>
                <w:sz w:val="16"/>
                <w:szCs w:val="16"/>
                <w:shd w:fill="F1F3F5" w:color="auto" w:val="clear"/>
                <w:rtl/>
              </w:rPr>
              <w:t xml:space="preserve">‎fac.release_utilization‎</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‎lc.apply_amendment‎</w:t>
            </w:r>
          </w:p>
        </w:tc>
      </w:tr>
      <w:tr>
        <w:trPr>
          <w:cantSplit/>
        </w:trPr>
        <w:tc>
          <w:tcPr>
            <w:tcW w:type="dxa" w:w="1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DQ-F12-10</w:t>
            </w:r>
          </w:p>
        </w:tc>
        <w:tc>
          <w:tcPr>
            <w:tcW w:type="dxa" w:w="1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يُسجَّل القبول بتقديم مطابق والقبول الجزئي؟</w:t>
            </w:r>
          </w:p>
        </w:tc>
        <w:tc>
          <w:tcPr>
            <w:tcW w:type="dxa" w:w="4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الأول ACCEPTED يدويًا بملاحظة «تقديم مطابق»؛ والثاني REJECTED</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w:t>
            </w:r>
            <w:r>
              <w:rPr>
                <w:rFonts w:ascii="Courier New" w:cs="Courier New" w:eastAsia="Courier New" w:hAnsi="Courier New"/>
                <w:b w:val="false"/>
                <w:bCs w:val="false"/>
                <w:color w:val="1F2937"/>
                <w:sz w:val="16"/>
                <w:szCs w:val="16"/>
                <w:shd w:fill="F1F3F5" w:color="auto" w:val="clear"/>
                <w:rtl/>
              </w:rPr>
              <w:t xml:space="preserve">‎lc.amendment_result‎</w:t>
            </w:r>
          </w:p>
        </w:tc>
      </w:tr>
    </w:tbl>
    <w:p>
      <w:pPr>
        <w:bidi/>
        <w:spacing w:after="120" w:before="0"/>
      </w:pPr>
    </w:p>
    <w:p>
      <w:pPr>
        <w:bidi/>
        <w:spacing w:after="110" w:before="0" w:line="312"/>
      </w:pPr>
      <w:r>
        <w:rPr>
          <w:rFonts w:ascii="Arial" w:cs="Arial" w:eastAsia="Arial" w:hAnsi="Arial"/>
          <w:b/>
          <w:bCs/>
          <w:sz w:val="21"/>
          <w:szCs w:val="21"/>
          <w:rtl/>
        </w:rPr>
        <w:t xml:space="preserve">DOC-F13 — تسلسل إدخال التسهيل واعتماد مراجعته وإسقاط بياناته</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2642"/>
        <w:gridCol w:w="4757"/>
        <w:gridCol w:w="1056"/>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6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7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0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DQ-F13-6</w:t>
            </w:r>
          </w:p>
        </w:tc>
        <w:tc>
          <w:tcPr>
            <w:tcW w:type="dxa" w:w="26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الإسقاط: داخل المعاملة؟ والحقل الفارغ؟ وتاريخ السريان؟</w:t>
            </w:r>
          </w:p>
        </w:tc>
        <w:tc>
          <w:tcPr>
            <w:tcW w:type="dxa" w:w="47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داخلها؛ الفارغ NOT_SPECIFIED_IN_AGREEMENT؛ السريان من الصف المصدر وإلا من الرأس</w:t>
            </w:r>
          </w:p>
        </w:tc>
        <w:tc>
          <w:tcPr>
            <w:tcW w:type="dxa" w:w="1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11</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DQ-F13-7</w:t>
            </w:r>
          </w:p>
        </w:tc>
        <w:tc>
          <w:tcPr>
            <w:tcW w:type="dxa" w:w="26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المقرض بعد الاعتماد (O-03، erd_open_items)</w:t>
            </w:r>
          </w:p>
        </w:tc>
        <w:tc>
          <w:tcPr>
            <w:tcW w:type="dxa" w:w="47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تعديل في مكانه؛ مراجعة CORRECTION؛ القادح حارس أخير</w:t>
            </w:r>
          </w:p>
        </w:tc>
        <w:tc>
          <w:tcPr>
            <w:tcW w:type="dxa" w:w="1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O-03</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DQ-F13-9</w:t>
            </w:r>
          </w:p>
        </w:tc>
        <w:tc>
          <w:tcPr>
            <w:tcW w:type="dxa" w:w="26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حد أو خط عليه استخدام أو حجز فعّال</w:t>
            </w:r>
          </w:p>
        </w:tc>
        <w:tc>
          <w:tcPr>
            <w:tcW w:type="dxa" w:w="47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عند التقديم والاعتماد، والبديل مراجعة تخفّض السقف</w:t>
            </w:r>
          </w:p>
        </w:tc>
        <w:tc>
          <w:tcPr>
            <w:tcW w:type="dxa" w:w="1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w:t>
            </w:r>
          </w:p>
        </w:tc>
      </w:tr>
    </w:tbl>
    <w:p>
      <w:pPr>
        <w:bidi/>
        <w:spacing w:after="120" w:before="0"/>
      </w:pPr>
    </w:p>
    <w:p>
      <w:pPr>
        <w:bidi/>
        <w:spacing w:after="110" w:before="0" w:line="312"/>
      </w:pPr>
      <w:r>
        <w:rPr>
          <w:rFonts w:ascii="Arial" w:cs="Arial" w:eastAsia="Arial" w:hAnsi="Arial"/>
          <w:b/>
          <w:bCs/>
          <w:sz w:val="21"/>
          <w:szCs w:val="21"/>
          <w:rtl/>
        </w:rPr>
        <w:t xml:space="preserve">DOC-F14 — مخططات حالات التسهيل والمراجعة والحجز والاستغلال</w:t>
      </w:r>
      <w:r>
        <w:rPr>
          <w:rFonts w:ascii="Arial" w:cs="Arial" w:eastAsia="Arial" w:hAnsi="Arial"/>
          <w:b w:val="false"/>
          <w:bCs w:val="false"/>
          <w:sz w:val="21"/>
          <w:szCs w:val="21"/>
          <w:rtl/>
        </w:rPr>
        <w:t xml:space="preserve"> (8)</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57"/>
        <w:gridCol w:w="1903"/>
        <w:gridCol w:w="4674"/>
        <w:gridCol w:w="1730"/>
      </w:tblGrid>
      <w:tr>
        <w:trPr>
          <w:cantSplit/>
          <w:tblHeader/>
        </w:trPr>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9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6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صلاحية تغيير دورة الحياة</w:t>
            </w:r>
          </w:p>
        </w:tc>
        <w:tc>
          <w:tcPr>
            <w:tcW w:type="dxa" w:w="4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‎fac.lifecycle.manage‎</w:t>
            </w:r>
            <w:r>
              <w:rPr>
                <w:rFonts w:ascii="Arial" w:cs="Arial" w:eastAsia="Arial" w:hAnsi="Arial"/>
                <w:b w:val="false"/>
                <w:bCs w:val="false"/>
                <w:sz w:val="18"/>
                <w:szCs w:val="18"/>
                <w:rtl/>
              </w:rPr>
              <w:t xml:space="preserve"> لـ TM وFO، والتعليق ورفعه لـ TM فقط.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B7d): </w:t>
            </w:r>
            <w:r>
              <w:rPr>
                <w:rFonts w:ascii="Courier New" w:cs="Courier New" w:eastAsia="Courier New" w:hAnsi="Courier New"/>
                <w:b w:val="false"/>
                <w:bCs w:val="false"/>
                <w:color w:val="1F2937"/>
                <w:sz w:val="16"/>
                <w:szCs w:val="16"/>
                <w:shd w:fill="F1F3F5" w:color="auto" w:val="clear"/>
                <w:rtl/>
              </w:rPr>
              <w:t xml:space="preserve">‎fac.lifecycle.manage‎</w:t>
            </w:r>
            <w:r>
              <w:rPr>
                <w:rFonts w:ascii="Arial" w:cs="Arial" w:eastAsia="Arial" w:hAnsi="Arial"/>
                <w:b w:val="false"/>
                <w:bCs w:val="false"/>
                <w:sz w:val="18"/>
                <w:szCs w:val="18"/>
                <w:rtl/>
              </w:rPr>
              <w:t xml:space="preserve"> لـ TM وFO و</w:t>
            </w:r>
            <w:r>
              <w:rPr>
                <w:rFonts w:ascii="Courier New" w:cs="Courier New" w:eastAsia="Courier New" w:hAnsi="Courier New"/>
                <w:b w:val="false"/>
                <w:bCs w:val="false"/>
                <w:color w:val="1F2937"/>
                <w:sz w:val="16"/>
                <w:szCs w:val="16"/>
                <w:shd w:fill="F1F3F5" w:color="auto" w:val="clear"/>
                <w:rtl/>
              </w:rPr>
              <w:t xml:space="preserve">‎fac.lifecycle.suspend‎</w:t>
            </w:r>
            <w:r>
              <w:rPr>
                <w:rFonts w:ascii="Arial" w:cs="Arial" w:eastAsia="Arial" w:hAnsi="Arial"/>
                <w:b w:val="false"/>
                <w:bCs w:val="false"/>
                <w:sz w:val="18"/>
                <w:szCs w:val="18"/>
                <w:rtl/>
              </w:rPr>
              <w:t xml:space="preserve"> لـ TM في db/seed/102_permissions.sql (139 صلاحية يومها، و140 بعد </w:t>
            </w:r>
            <w:r>
              <w:rPr>
                <w:rFonts w:ascii="Courier New" w:cs="Courier New" w:eastAsia="Courier New" w:hAnsi="Courier New"/>
                <w:b w:val="false"/>
                <w:bCs w:val="false"/>
                <w:color w:val="1F2937"/>
                <w:sz w:val="16"/>
                <w:szCs w:val="16"/>
                <w:shd w:fill="F1F3F5" w:color="auto" w:val="clear"/>
                <w:rtl/>
              </w:rPr>
              <w:t xml:space="preserve">‎fin.stats.confirm‎</w:t>
            </w:r>
            <w:r>
              <w:rPr>
                <w:rFonts w:ascii="Arial" w:cs="Arial" w:eastAsia="Arial" w:hAnsi="Arial"/>
                <w:b w:val="false"/>
                <w:bCs w:val="false"/>
                <w:sz w:val="18"/>
                <w:szCs w:val="18"/>
                <w:rtl/>
              </w:rPr>
              <w:t xml:space="preserve">، ADR 0016)</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الانتقالات 3 إلى 7</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DQ-F14-2</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يُسمح من SUSPENDED إلى EXPIRED أو TERMINATED أو SUPERSEDED، ومن EXPIRED إلى SUPERSEDED؟</w:t>
            </w:r>
          </w:p>
        </w:tc>
        <w:tc>
          <w:tcPr>
            <w:tcW w:type="dxa" w:w="4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DQ-F14-3</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التعليق على الحجز القائم</w:t>
            </w:r>
          </w:p>
        </w:tc>
        <w:tc>
          <w:tcPr>
            <w:tcW w:type="dxa" w:w="4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حجز ولا زيادة؛ التحويل مسموح مع تنبيه TM لأن البنك قد أصدر</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DOC-F11، DOC-F12</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DQ-F14-4</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الحجوزات الفعالة عند EXPIRED أو TERMINATED</w:t>
            </w:r>
          </w:p>
        </w:tc>
        <w:tc>
          <w:tcPr>
            <w:tcW w:type="dxa" w:w="4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تُفك بسبب MANUAL ويصدر </w:t>
            </w:r>
            <w:r>
              <w:rPr>
                <w:rFonts w:ascii="Courier New" w:cs="Courier New" w:eastAsia="Courier New" w:hAnsi="Courier New"/>
                <w:b w:val="false"/>
                <w:bCs w:val="false"/>
                <w:color w:val="1F2937"/>
                <w:sz w:val="16"/>
                <w:szCs w:val="16"/>
                <w:shd w:fill="F1F3F5" w:color="auto" w:val="clear"/>
                <w:rtl/>
              </w:rPr>
              <w:t xml:space="preserve">‎released_externally‎</w:t>
            </w:r>
            <w:r>
              <w:rPr>
                <w:rFonts w:ascii="Arial" w:cs="Arial" w:eastAsia="Arial" w:hAnsi="Arial"/>
                <w:b w:val="false"/>
                <w:bCs w:val="false"/>
                <w:sz w:val="18"/>
                <w:szCs w:val="18"/>
                <w:rtl/>
              </w:rPr>
              <w:t xml:space="preserve"> فيصير الطلب LOST</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الانتقالان 5 و6</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DQ-F14-5</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الاستغلال والحجوزات عند استبدال السابق</w:t>
            </w:r>
          </w:p>
        </w:tc>
        <w:tc>
          <w:tcPr>
            <w:tcW w:type="dxa" w:w="4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تُنقل إلى العقدة بالرمز نفسه في اللاحق بحركة مدققة؛ وما لا مقابل له يظهر في R-FAC-03.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B6): </w:t>
            </w:r>
            <w:r>
              <w:rPr>
                <w:rFonts w:ascii="Courier New" w:cs="Courier New" w:eastAsia="Courier New" w:hAnsi="Courier New"/>
                <w:b w:val="false"/>
                <w:bCs w:val="false"/>
                <w:color w:val="1F2937"/>
                <w:sz w:val="16"/>
                <w:szCs w:val="16"/>
                <w:shd w:fill="F1F3F5" w:color="auto" w:val="clear"/>
                <w:rtl/>
              </w:rPr>
              <w:t xml:space="preserve">‎fac.Utilization‎</w:t>
            </w:r>
            <w:r>
              <w:rPr>
                <w:rFonts w:ascii="Arial" w:cs="Arial" w:eastAsia="Arial" w:hAnsi="Arial"/>
                <w:b w:val="false"/>
                <w:bCs w:val="false"/>
                <w:sz w:val="18"/>
                <w:szCs w:val="18"/>
                <w:rtl/>
              </w:rPr>
              <w:t xml:space="preserve"> في TRANSFERRED يشير ببند في اللاحق نفسه (</w:t>
            </w:r>
            <w:r>
              <w:rPr>
                <w:rFonts w:ascii="Courier New" w:cs="Courier New" w:eastAsia="Courier New" w:hAnsi="Courier New"/>
                <w:b w:val="false"/>
                <w:bCs w:val="false"/>
                <w:color w:val="1F2937"/>
                <w:sz w:val="16"/>
                <w:szCs w:val="16"/>
                <w:shd w:fill="F1F3F5" w:color="auto" w:val="clear"/>
                <w:rtl/>
              </w:rPr>
              <w:t xml:space="preserve">‎PreviousFacilityId‎</w:t>
            </w:r>
            <w:r>
              <w:rPr>
                <w:rFonts w:ascii="Arial" w:cs="Arial" w:eastAsia="Arial" w:hAnsi="Arial"/>
                <w:b w:val="false"/>
                <w:bCs w:val="false"/>
                <w:sz w:val="18"/>
                <w:szCs w:val="18"/>
                <w:rtl/>
              </w:rPr>
              <w:t xml:space="preserve">) عبر مفتاحين مركّبين، وحركة TRANSFER بسبب في </w:t>
            </w:r>
            <w:r>
              <w:rPr>
                <w:rFonts w:ascii="Courier New" w:cs="Courier New" w:eastAsia="Courier New" w:hAnsi="Courier New"/>
                <w:b w:val="false"/>
                <w:bCs w:val="false"/>
                <w:color w:val="1F2937"/>
                <w:sz w:val="16"/>
                <w:szCs w:val="16"/>
                <w:shd w:fill="F1F3F5" w:color="auto" w:val="clear"/>
                <w:rtl/>
              </w:rPr>
              <w:t xml:space="preserve">‎fac.LimitMovement‎</w:t>
            </w:r>
            <w:r>
              <w:rPr>
                <w:rFonts w:ascii="Arial" w:cs="Arial" w:eastAsia="Arial" w:hAnsi="Arial"/>
                <w:b w:val="false"/>
                <w:bCs w:val="false"/>
                <w:sz w:val="18"/>
                <w:szCs w:val="18"/>
                <w:rtl/>
              </w:rPr>
              <w:t xml:space="preserve"> (SR9)؛ ومطابقة الرمز يفحصها التطبيق، والحجز يُفك بسبب SUPERSEDED</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التجديد في S2</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DQ-F14-6</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المؤشر بعد انتهاء السابق ولاحقه المعتمد لم يبدأ</w:t>
            </w:r>
          </w:p>
        </w:tc>
        <w:tc>
          <w:tcPr>
            <w:tcW w:type="dxa" w:w="4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NOT_CONFIRMED حتى بدء اللاحق</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BR-FAC-005</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DQ-F14-7</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على تسهيل مؤشره SCHEDULED</w:t>
            </w:r>
          </w:p>
        </w:tc>
        <w:tc>
          <w:tcPr>
            <w:tcW w:type="dxa" w:w="4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LIMIT_NOT_ACTIVE حتى </w:t>
            </w:r>
            <w:r>
              <w:rPr>
                <w:rFonts w:ascii="Courier New" w:cs="Courier New" w:eastAsia="Courier New" w:hAnsi="Courier New"/>
                <w:b w:val="false"/>
                <w:bCs w:val="false"/>
                <w:color w:val="1F2937"/>
                <w:sz w:val="16"/>
                <w:szCs w:val="16"/>
                <w:shd w:fill="F1F3F5" w:color="auto" w:val="clear"/>
                <w:rtl/>
              </w:rPr>
              <w:t xml:space="preserve">‎EffectiveFrom‎</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DQ-F14-11</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المراجعة المسموحة لكل حالة</w:t>
            </w:r>
          </w:p>
        </w:tc>
        <w:tc>
          <w:tcPr>
            <w:tcW w:type="dxa" w:w="4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§2.2</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r>
    </w:tbl>
    <w:p>
      <w:pPr>
        <w:bidi/>
        <w:spacing w:after="120" w:before="0"/>
      </w:pPr>
    </w:p>
    <w:p>
      <w:pPr>
        <w:bidi/>
        <w:spacing w:after="110" w:before="0" w:line="312"/>
      </w:pPr>
      <w:r>
        <w:rPr>
          <w:rFonts w:ascii="Arial" w:cs="Arial" w:eastAsia="Arial" w:hAnsi="Arial"/>
          <w:b/>
          <w:bCs/>
          <w:sz w:val="21"/>
          <w:szCs w:val="21"/>
          <w:rtl/>
        </w:rPr>
        <w:t xml:space="preserve">DOC-F15 — مخططات حالات الالتزامات والبيانات المالية</w:t>
      </w:r>
      <w:r>
        <w:rPr>
          <w:rFonts w:ascii="Arial" w:cs="Arial" w:eastAsia="Arial" w:hAnsi="Arial"/>
          <w:b w:val="false"/>
          <w:bCs w:val="false"/>
          <w:sz w:val="21"/>
          <w:szCs w:val="21"/>
          <w:rtl/>
        </w:rPr>
        <w:t xml:space="preserve"> (11)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2557"/>
        <w:gridCol w:w="3837"/>
        <w:gridCol w:w="1826"/>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تتغير حالة الالتزام وهو صف مراجَع؟</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 ورفعه بمراجعة؛ ENDED مشتقة؛ البنود المستقبلية تُلغى بسبب.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المراجعة الذاتية B7c): </w:t>
            </w:r>
            <w:r>
              <w:rPr>
                <w:rFonts w:ascii="Courier New" w:cs="Courier New" w:eastAsia="Courier New" w:hAnsi="Courier New"/>
                <w:b w:val="false"/>
                <w:bCs w:val="false"/>
                <w:color w:val="1F2937"/>
                <w:sz w:val="16"/>
                <w:szCs w:val="16"/>
                <w:shd w:fill="F1F3F5" w:color="auto" w:val="clear"/>
                <w:rtl/>
              </w:rPr>
              <w:t xml:space="preserve">‎obl.Obligation.Status‎</w:t>
            </w:r>
            <w:r>
              <w:rPr>
                <w:rFonts w:ascii="Arial" w:cs="Arial" w:eastAsia="Arial" w:hAnsi="Arial"/>
                <w:b w:val="false"/>
                <w:bCs w:val="false"/>
                <w:sz w:val="18"/>
                <w:szCs w:val="18"/>
                <w:rtl/>
              </w:rPr>
              <w:t xml:space="preserve"> لا يقبل إلا ACTIVE وSUSPENDED، وENDED تُشتق (SR9)</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DQ-F15-6</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التعهد الوصفي: خطوة واحدة أم اثنتان؟</w:t>
            </w:r>
          </w:p>
        </w:tc>
        <w:tc>
          <w:tcPr>
            <w:tcW w:type="dxa" w:w="3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خطوة واحدة إلى REVIEWED بمراجِع ودليل؛ UNDER_REVIEW حين لا يُحسم</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DQ-F15-7</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لحظة فتح خرق LATE_REPORT</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المهمة عند OVERDUE بعد </w:t>
            </w:r>
            <w:r>
              <w:rPr>
                <w:rFonts w:ascii="Courier New" w:cs="Courier New" w:eastAsia="Courier New" w:hAnsi="Courier New"/>
                <w:b w:val="false"/>
                <w:bCs w:val="false"/>
                <w:color w:val="1F2937"/>
                <w:sz w:val="16"/>
                <w:szCs w:val="16"/>
                <w:shd w:fill="F1F3F5" w:color="auto" w:val="clear"/>
                <w:rtl/>
              </w:rPr>
              <w:t xml:space="preserve">‎GraceDays‎</w:t>
            </w:r>
            <w:r>
              <w:rPr>
                <w:rFonts w:ascii="Arial" w:cs="Arial" w:eastAsia="Arial" w:hAnsi="Arial"/>
                <w:b w:val="false"/>
                <w:bCs w:val="false"/>
                <w:sz w:val="18"/>
                <w:szCs w:val="18"/>
                <w:rtl/>
              </w:rPr>
              <w:t xml:space="preserve">؛ وإلا عند التقديم المتأخر كما في AC-FAC-6</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FR-OBL-004</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DQ-F15-8</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إلى IN_CURE</w:t>
            </w:r>
          </w:p>
        </w:tc>
        <w:tc>
          <w:tcPr>
            <w:tcW w:type="dxa" w:w="3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آليًا عند الكشف إن كانت </w:t>
            </w:r>
            <w:r>
              <w:rPr>
                <w:rFonts w:ascii="Courier New" w:cs="Courier New" w:eastAsia="Courier New" w:hAnsi="Courier New"/>
                <w:b w:val="false"/>
                <w:bCs w:val="false"/>
                <w:color w:val="1F2937"/>
                <w:sz w:val="16"/>
                <w:szCs w:val="16"/>
                <w:shd w:fill="F1F3F5" w:color="auto" w:val="clear"/>
                <w:rtl/>
              </w:rPr>
              <w:t xml:space="preserve">‎CureDays‎</w:t>
            </w:r>
            <w:r>
              <w:rPr>
                <w:rFonts w:ascii="Arial" w:cs="Arial" w:eastAsia="Arial" w:hAnsi="Arial"/>
                <w:b w:val="false"/>
                <w:bCs w:val="false"/>
                <w:sz w:val="18"/>
                <w:szCs w:val="18"/>
                <w:rtl/>
              </w:rPr>
              <w:t xml:space="preserve"> أكبر من صفر؛ ويدويًا إن منح البنك مهلة لاحقًا</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BR-OBL-009</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DQ-F15-9</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يُحفظ التنازل قبل اعتماده؟</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w:t>
            </w:r>
            <w:r>
              <w:rPr>
                <w:rFonts w:ascii="Courier New" w:cs="Courier New" w:eastAsia="Courier New" w:hAnsi="Courier New"/>
                <w:b w:val="false"/>
                <w:bCs w:val="false"/>
                <w:color w:val="1F2937"/>
                <w:sz w:val="16"/>
                <w:szCs w:val="16"/>
                <w:shd w:fill="F1F3F5" w:color="auto" w:val="clear"/>
                <w:rtl/>
              </w:rPr>
              <w:t xml:space="preserve">‎WaiverApprovedBy/On‎</w:t>
            </w:r>
            <w:r>
              <w:rPr>
                <w:rFonts w:ascii="Arial" w:cs="Arial" w:eastAsia="Arial" w:hAnsi="Arial"/>
                <w:b w:val="false"/>
                <w:bCs w:val="false"/>
                <w:sz w:val="18"/>
                <w:szCs w:val="18"/>
                <w:rtl/>
              </w:rPr>
              <w:t xml:space="preserve">، والسماح بحقول التنازل في OPEN وIN_CURE، وWAIVED يستلزم الاعتماد.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B2): </w:t>
            </w:r>
            <w:r>
              <w:rPr>
                <w:rFonts w:ascii="Courier New" w:cs="Courier New" w:eastAsia="Courier New" w:hAnsi="Courier New"/>
                <w:b w:val="false"/>
                <w:bCs w:val="false"/>
                <w:color w:val="1F2937"/>
                <w:sz w:val="16"/>
                <w:szCs w:val="16"/>
                <w:shd w:fill="F1F3F5" w:color="auto" w:val="clear"/>
                <w:rtl/>
              </w:rPr>
              <w:t xml:space="preserve">‎WaiverApprovedBy/On‎</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‎obl.ObligationBreach‎</w:t>
            </w:r>
            <w:r>
              <w:rPr>
                <w:rFonts w:ascii="Arial" w:cs="Arial" w:eastAsia="Arial" w:hAnsi="Arial"/>
                <w:b w:val="false"/>
                <w:bCs w:val="false"/>
                <w:sz w:val="18"/>
                <w:szCs w:val="18"/>
                <w:rtl/>
              </w:rPr>
              <w:t xml:space="preserve">؛ حقول التنازل تُسجَّل في OPEN وIN_CURE، والاعتماد هو الانتقال إلى WAIVED (SR9)</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F-OBL-1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DQ-F15-11</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BREACH جديد لفترة لها خرق مفتوح</w:t>
            </w:r>
          </w:p>
        </w:tc>
        <w:tc>
          <w:tcPr>
            <w:tcW w:type="dxa" w:w="3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خرق ثانٍ؛ NeedsReview على القائم.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B1): الخرق يحمل جذر التعهد ونهاية الفترة بمفتاح مركّب، وخرق مفتوح واحد لكل تعهد وفترة ولو أعيد التقييم (SR9)</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BR-OBL-011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DQ-F15-12</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يضع بند الأجندة WAIVED وبأي دليل؟</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بـ </w:t>
            </w:r>
            <w:r>
              <w:rPr>
                <w:rFonts w:ascii="Courier New" w:cs="Courier New" w:eastAsia="Courier New" w:hAnsi="Courier New"/>
                <w:b w:val="false"/>
                <w:bCs w:val="false"/>
                <w:color w:val="1F2937"/>
                <w:sz w:val="16"/>
                <w:szCs w:val="16"/>
                <w:shd w:fill="F1F3F5" w:color="auto" w:val="clear"/>
                <w:rtl/>
              </w:rPr>
              <w:t xml:space="preserve">‎obl.waiver.approve‎</w:t>
            </w:r>
            <w:r>
              <w:rPr>
                <w:rFonts w:ascii="Arial" w:cs="Arial" w:eastAsia="Arial" w:hAnsi="Arial"/>
                <w:b w:val="false"/>
                <w:bCs w:val="false"/>
                <w:sz w:val="18"/>
                <w:szCs w:val="18"/>
                <w:rtl/>
              </w:rPr>
              <w:t xml:space="preserve">، وسبب ووثيقة إلزاميان.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B7a): بند الأجندة WAIVED يستلزم </w:t>
            </w:r>
            <w:r>
              <w:rPr>
                <w:rFonts w:ascii="Courier New" w:cs="Courier New" w:eastAsia="Courier New" w:hAnsi="Courier New"/>
                <w:b w:val="false"/>
                <w:bCs w:val="false"/>
                <w:color w:val="1F2937"/>
                <w:sz w:val="16"/>
                <w:szCs w:val="16"/>
                <w:shd w:fill="F1F3F5" w:color="auto" w:val="clear"/>
                <w:rtl/>
              </w:rPr>
              <w:t xml:space="preserve">‎StatusReason‎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‎EvidenceDocumentId‎</w:t>
            </w:r>
            <w:r>
              <w:rPr>
                <w:rFonts w:ascii="Arial" w:cs="Arial" w:eastAsia="Arial" w:hAnsi="Arial"/>
                <w:b w:val="false"/>
                <w:bCs w:val="false"/>
                <w:sz w:val="18"/>
                <w:szCs w:val="18"/>
                <w:rtl/>
              </w:rPr>
              <w:t xml:space="preserve"> (SR9، RF29)؛ وصلاحية </w:t>
            </w:r>
            <w:r>
              <w:rPr>
                <w:rFonts w:ascii="Courier New" w:cs="Courier New" w:eastAsia="Courier New" w:hAnsi="Courier New"/>
                <w:b w:val="false"/>
                <w:bCs w:val="false"/>
                <w:color w:val="1F2937"/>
                <w:sz w:val="16"/>
                <w:szCs w:val="16"/>
                <w:shd w:fill="F1F3F5" w:color="auto" w:val="clear"/>
                <w:rtl/>
              </w:rPr>
              <w:t xml:space="preserve">‎obl.waiver.approve‎</w:t>
            </w:r>
            <w:r>
              <w:rPr>
                <w:rFonts w:ascii="Arial" w:cs="Arial" w:eastAsia="Arial" w:hAnsi="Arial"/>
                <w:b w:val="false"/>
                <w:bCs w:val="false"/>
                <w:sz w:val="18"/>
                <w:szCs w:val="18"/>
                <w:rtl/>
              </w:rPr>
              <w:t xml:space="preserve"> يفحصها التطبيق</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DQ-F15-13</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تصحيح بند SUBMITTED</w:t>
            </w:r>
          </w:p>
        </w:tc>
        <w:tc>
          <w:tcPr>
            <w:tcW w:type="dxa" w:w="3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رجوع؛ تعديل مدقَّق؛ والخرق الناتج يغلقه TM إن زال التأخير</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DQ-F15-14</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لون NOT_COMPARABLE وUNDER_REVIEW</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AMBER لكليهما</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BR-OBL-010</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DQ-F15-15</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فوات مهلة العلاج أو انتهاء التنازل</w:t>
            </w:r>
          </w:p>
        </w:tc>
        <w:tc>
          <w:tcPr>
            <w:tcW w:type="dxa" w:w="3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NeedsReview وتنبيه يومي بلا تغيير حالة</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DQ-F15-18</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الرصيد الشهري: من يؤكد وما الذي يُقيَّم؟</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المؤكد وحده؛ يؤكده حامل </w:t>
            </w:r>
            <w:r>
              <w:rPr>
                <w:rFonts w:ascii="Courier New" w:cs="Courier New" w:eastAsia="Courier New" w:hAnsi="Courier New"/>
                <w:b w:val="false"/>
                <w:bCs w:val="false"/>
                <w:color w:val="1F2937"/>
                <w:sz w:val="16"/>
                <w:szCs w:val="16"/>
                <w:shd w:fill="F1F3F5" w:color="auto" w:val="clear"/>
                <w:rtl/>
              </w:rPr>
              <w:t xml:space="preserve">‎fin.stats.enter‎</w:t>
            </w:r>
            <w:r>
              <w:rPr>
                <w:rFonts w:ascii="Arial" w:cs="Arial" w:eastAsia="Arial" w:hAnsi="Arial"/>
                <w:b w:val="false"/>
                <w:bCs w:val="false"/>
                <w:sz w:val="18"/>
                <w:szCs w:val="18"/>
                <w:rtl/>
              </w:rPr>
              <w:t xml:space="preserve"> بلا معتمِد ثانٍ</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BR-FIN-005</w:t>
            </w:r>
          </w:p>
        </w:tc>
      </w:tr>
    </w:tbl>
    <w:p>
      <w:pPr>
        <w:bidi/>
        <w:spacing w:after="120" w:before="0"/>
      </w:pPr>
    </w:p>
    <w:p>
      <w:pPr>
        <w:bidi/>
        <w:spacing w:after="110" w:before="0" w:line="312"/>
      </w:pPr>
      <w:r>
        <w:rPr>
          <w:rFonts w:ascii="Arial" w:cs="Arial" w:eastAsia="Arial" w:hAnsi="Arial"/>
          <w:b/>
          <w:bCs/>
          <w:sz w:val="21"/>
          <w:szCs w:val="21"/>
          <w:rtl/>
        </w:rPr>
        <w:t xml:space="preserve">DOC-F16 — مخططات حالات كيانات الاعتماد التابعة (التعديل والسحب والمبيعات والمخالفات والبروفورما)</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69"/>
        <w:gridCol w:w="2775"/>
        <w:gridCol w:w="2047"/>
        <w:gridCol w:w="2773"/>
      </w:tblGrid>
      <w:tr>
        <w:trPr>
          <w:cantSplit/>
          <w:tblHeader/>
        </w:trPr>
        <w:tc>
          <w:tcPr>
            <w:tcW w:type="dxa" w:w="22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7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7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DQ-F16-8</w:t>
            </w:r>
          </w:p>
        </w:tc>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الاعتماد</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إغلاق آليًا؛ TM فقط بسبب؛ وحارس V-LCI-09 للجانبين</w:t>
            </w:r>
          </w:p>
        </w:tc>
        <w:tc>
          <w:tcPr>
            <w:tcW w:type="dxa" w:w="2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FR-LCI-015، BR-LCE-012</w:t>
            </w:r>
          </w:p>
        </w:tc>
      </w:tr>
      <w:tr>
        <w:trPr>
          <w:cantSplit/>
        </w:trPr>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DQ-F16-12</w:t>
            </w:r>
          </w:p>
        </w:tc>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يعود VERIFIED إلى UNVERIFIED؟</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بيد المشغّل مع ملاحظة وتدقيق HIGH، لتصحيح تحقق خاطئ</w:t>
            </w:r>
          </w:p>
        </w:tc>
        <w:tc>
          <w:tcPr>
            <w:tcW w:type="dxa" w:w="2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FR-LCT-006</w:t>
            </w:r>
          </w:p>
        </w:tc>
      </w:tr>
    </w:tbl>
    <w:p>
      <w:pPr>
        <w:bidi/>
        <w:spacing w:after="120" w:before="0"/>
      </w:pPr>
    </w:p>
    <w:p>
      <w:pPr>
        <w:bidi/>
        <w:spacing w:after="110" w:before="0" w:line="312"/>
      </w:pPr>
      <w:r>
        <w:rPr>
          <w:rFonts w:ascii="Arial" w:cs="Arial" w:eastAsia="Arial" w:hAnsi="Arial"/>
          <w:b/>
          <w:bCs/>
          <w:sz w:val="21"/>
          <w:szCs w:val="21"/>
          <w:rtl/>
        </w:rPr>
        <w:t xml:space="preserve">DOC-F17 — تدفقات الأحداث غير المتزامنة: Outbox والمهام المجدولة ومسار الإشعار</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36"/>
        <w:gridCol w:w="1972"/>
        <w:gridCol w:w="3102"/>
        <w:gridCol w:w="2254"/>
      </w:tblGrid>
      <w:tr>
        <w:trPr>
          <w:cantSplit/>
          <w:tblHeader/>
        </w:trPr>
        <w:tc>
          <w:tcPr>
            <w:tcW w:type="dxa" w:w="25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1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2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DQ-F17-8</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الرجوع للإشعار</w:t>
            </w:r>
          </w:p>
        </w:tc>
        <w:tc>
          <w:tcPr>
            <w:tcW w:type="dxa" w:w="3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ويُعدَّل FR-NTF-024</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DQ-F17-12</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مشترك معلّق</w:t>
            </w:r>
          </w:p>
        </w:tc>
        <w:tc>
          <w:tcPr>
            <w:tcW w:type="dxa" w:w="3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 PENDING حتى يعود نشطًا؛ وتنبيه TA بالتعليق بريد منصة لا إشعار مشترك</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§7.4 وDOC-F05</w:t>
            </w:r>
          </w:p>
        </w:tc>
      </w:tr>
    </w:tbl>
    <w:p>
      <w:pPr>
        <w:bidi/>
        <w:spacing w:after="120" w:before="0"/>
      </w:pPr>
    </w:p>
    <w:p>
      <w:pPr>
        <w:bidi/>
        <w:spacing w:after="110" w:before="0" w:line="312"/>
      </w:pPr>
      <w:r>
        <w:rPr>
          <w:rFonts w:ascii="Arial" w:cs="Arial" w:eastAsia="Arial" w:hAnsi="Arial"/>
          <w:b/>
          <w:bCs/>
          <w:sz w:val="21"/>
          <w:szCs w:val="21"/>
          <w:rtl/>
        </w:rPr>
        <w:t xml:space="preserve">DOC-S10 — دليل تشغيل خادم Ubuntu 24.04 لقاعدة البيانات</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76"/>
        <w:gridCol w:w="1991"/>
        <w:gridCol w:w="3890"/>
        <w:gridCol w:w="1707"/>
      </w:tblGrid>
      <w:tr>
        <w:trPr>
          <w:cantSplit/>
          <w:tblHeader/>
        </w:trPr>
        <w:tc>
          <w:tcPr>
            <w:tcW w:type="dxa" w:w="22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9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8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7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DQ-S10-1</w:t>
            </w:r>
          </w:p>
        </w:tc>
        <w:tc>
          <w:tcPr>
            <w:tcW w:type="dxa" w:w="1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خادم القاعدة</w:t>
            </w:r>
          </w:p>
        </w:tc>
        <w:tc>
          <w:tcPr>
            <w:tcW w:type="dxa" w:w="38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معالجات افتراضية و16 GB ذاكرة نقطة بدء، بعد التحقق من الحد الأدنى لدى Microsoft [تحقق MS]، ويُراجع بعد اختبار الحمل (NFR-PERF-01)</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P-03</w:t>
            </w:r>
          </w:p>
        </w:tc>
      </w:tr>
      <w:tr>
        <w:trPr>
          <w:cantSplit/>
        </w:trPr>
        <w:tc>
          <w:tcPr>
            <w:tcW w:type="dxa" w:w="2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DQ-S10-8</w:t>
            </w:r>
          </w:p>
        </w:tc>
        <w:tc>
          <w:tcPr>
            <w:tcW w:type="dxa" w:w="1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يملك sudo</w:t>
            </w:r>
          </w:p>
        </w:tc>
        <w:tc>
          <w:tcPr>
            <w:tcW w:type="dxa" w:w="38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ثلاثة أشخاص مسمّون على الأكثر، يعتمدهم OWN، وليس بينهم حافظا المفتاح الرئيسي</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w:t>
            </w:r>
          </w:p>
        </w:tc>
      </w:tr>
      <w:tr>
        <w:trPr>
          <w:cantSplit/>
        </w:trPr>
        <w:tc>
          <w:tcPr>
            <w:tcW w:type="dxa" w:w="2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DQ-S10-9</w:t>
            </w:r>
          </w:p>
        </w:tc>
        <w:tc>
          <w:tcPr>
            <w:tcW w:type="dxa" w:w="1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طوارئ النظام</w:t>
            </w:r>
          </w:p>
        </w:tc>
        <w:tc>
          <w:tcPr>
            <w:tcW w:type="dxa" w:w="38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 المزوّد بحساب كلمته مقسومة بين أمينين</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§8.3</w:t>
            </w:r>
          </w:p>
        </w:tc>
      </w:tr>
    </w:tbl>
    <w:p>
      <w:pPr>
        <w:bidi/>
        <w:spacing w:after="120" w:before="0"/>
      </w:pPr>
    </w:p>
    <w:p>
      <w:pPr>
        <w:bidi/>
        <w:spacing w:after="110" w:before="0" w:line="312"/>
      </w:pPr>
      <w:r>
        <w:rPr>
          <w:rFonts w:ascii="Arial" w:cs="Arial" w:eastAsia="Arial" w:hAnsi="Arial"/>
          <w:b/>
          <w:bCs/>
          <w:sz w:val="21"/>
          <w:szCs w:val="21"/>
          <w:rtl/>
        </w:rPr>
        <w:t xml:space="preserve">DOC-S11 — دليل نشر قاعدة البيانات على الخادم باستخدام deploy.sh</w:t>
      </w:r>
      <w:r>
        <w:rPr>
          <w:rFonts w:ascii="Arial" w:cs="Arial" w:eastAsia="Arial" w:hAnsi="Arial"/>
          <w:b w:val="false"/>
          <w:bCs w:val="false"/>
          <w:sz w:val="21"/>
          <w:szCs w:val="21"/>
          <w:rtl/>
        </w:rPr>
        <w:t xml:space="preserve"> (1)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23"/>
        <w:gridCol w:w="2380"/>
        <w:gridCol w:w="2721"/>
        <w:gridCol w:w="2040"/>
      </w:tblGrid>
      <w:tr>
        <w:trPr>
          <w:cantSplit/>
          <w:tblHeader/>
        </w:trPr>
        <w:tc>
          <w:tcPr>
            <w:tcW w:type="dxa" w:w="27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7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0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DQ-S11-8</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إصلاح عاجل قبل منفّذ الترحيل</w:t>
            </w:r>
          </w:p>
        </w:tc>
        <w:tc>
          <w:tcPr>
            <w:tcW w:type="dxa" w:w="2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طارئ مجرَّب على نسخة مستعادة، يعتمده OWN وSEC</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w:t>
            </w:r>
          </w:p>
        </w:tc>
      </w:tr>
    </w:tbl>
    <w:p>
      <w:pPr>
        <w:bidi/>
        <w:spacing w:after="120" w:before="0"/>
      </w:pPr>
    </w:p>
    <w:p>
      <w:pPr>
        <w:bidi/>
        <w:spacing w:after="110" w:before="0" w:line="312"/>
      </w:pPr>
      <w:r>
        <w:rPr>
          <w:rFonts w:ascii="Arial" w:cs="Arial" w:eastAsia="Arial" w:hAnsi="Arial"/>
          <w:b/>
          <w:bCs/>
          <w:sz w:val="21"/>
          <w:szCs w:val="21"/>
          <w:rtl/>
        </w:rPr>
        <w:t xml:space="preserve">DOC-S12 — متطلبات السجلات والمراقبة والتدقيق التشغيلي</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95"/>
        <w:gridCol w:w="2307"/>
        <w:gridCol w:w="3232"/>
        <w:gridCol w:w="1730"/>
      </w:tblGrid>
      <w:tr>
        <w:trPr>
          <w:cantSplit/>
          <w:tblHeader/>
        </w:trPr>
        <w:tc>
          <w:tcPr>
            <w:tcW w:type="dxa" w:w="25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2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DQ-S12-2</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موقع المخزن المركزي ودولته</w:t>
            </w:r>
          </w:p>
        </w:tc>
        <w:tc>
          <w:tcPr>
            <w:tcW w:type="dxa" w:w="3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حساب الاستضافة، في الدولة نفسها التي يُقبل فيها الموقع المنفصل للنسخ (DQ-S09-2، DQ-S07-2)</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r>
      <w:tr>
        <w:trPr>
          <w:cantSplit/>
        </w:trPr>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DQ-S12-3</w:t>
            </w:r>
          </w:p>
        </w:tc>
        <w:tc>
          <w:tcPr>
            <w:tcW w:type="dxa" w:w="2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w:t>
            </w:r>
          </w:p>
        </w:tc>
        <w:tc>
          <w:tcPr>
            <w:tcW w:type="dxa" w:w="32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§5.1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r>
      <w:tr>
        <w:trPr>
          <w:cantSplit/>
        </w:trPr>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DQ-S12-10</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المناوبة</w:t>
            </w:r>
          </w:p>
        </w:tc>
        <w:tc>
          <w:tcPr>
            <w:tcW w:type="dxa" w:w="3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على مدار الساعة من الإطلاق، وساعات العمل قبله</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bl>
    <w:p>
      <w:pPr>
        <w:bidi/>
        <w:spacing w:after="120" w:before="0"/>
      </w:pPr>
    </w:p>
    <w:p>
      <w:pPr>
        <w:bidi/>
        <w:spacing w:after="110" w:before="0" w:line="312"/>
      </w:pPr>
      <w:r>
        <w:rPr>
          <w:rFonts w:ascii="Arial" w:cs="Arial" w:eastAsia="Arial" w:hAnsi="Arial"/>
          <w:b/>
          <w:bCs/>
          <w:sz w:val="21"/>
          <w:szCs w:val="21"/>
          <w:rtl/>
        </w:rPr>
        <w:t xml:space="preserve">DOC-S13 — خطة اختبار الأمن والعزل</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09"/>
        <w:gridCol w:w="2566"/>
        <w:gridCol w:w="3193"/>
        <w:gridCol w:w="1796"/>
      </w:tblGrid>
      <w:tr>
        <w:trPr>
          <w:cantSplit/>
          <w:tblHeader/>
        </w:trPr>
        <w:tc>
          <w:tcPr>
            <w:tcW w:type="dxa" w:w="23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1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7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DQ-S13-5</w:t>
            </w:r>
          </w:p>
        </w:tc>
        <w:tc>
          <w:tcPr>
            <w:tcW w:type="dxa" w:w="2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الفحص الديناميكي ومزوّد اختبار الاختراق</w:t>
            </w:r>
          </w:p>
        </w:tc>
        <w:tc>
          <w:tcPr>
            <w:tcW w:type="dxa" w:w="3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فاحص DAST مفتوح المصدر، مثل OWASP ZAP، في بيئة الاختبار؛ ومزوّد اختبار خارجي مستقل يختاره OWN</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L7، §9</w:t>
            </w:r>
          </w:p>
        </w:tc>
      </w:tr>
      <w:tr>
        <w:trPr>
          <w:cantSplit/>
        </w:trPr>
        <w:tc>
          <w:tcPr>
            <w:tcW w:type="dxa" w:w="2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DQ-S13-10</w:t>
            </w:r>
          </w:p>
        </w:tc>
        <w:tc>
          <w:tcPr>
            <w:tcW w:type="dxa" w:w="2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اختبار الاختراق وتكراره</w:t>
            </w:r>
          </w:p>
        </w:tc>
        <w:tc>
          <w:tcPr>
            <w:tcW w:type="dxa" w:w="3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معزولة ببيانات اصطناعية، قبل قرار التجربة بثلاثة أسابيع على الأقل لإتاحة الإصلاح وإعادة الاختبار، ثم سنويًا</w:t>
            </w:r>
          </w:p>
        </w:tc>
        <w:tc>
          <w:tcPr>
            <w:tcW w:type="dxa" w:w="17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DOC-B12</w:t>
            </w:r>
          </w:p>
        </w:tc>
      </w:tr>
    </w:tbl>
    <w:p>
      <w:pPr>
        <w:bidi/>
        <w:spacing w:after="120" w:before="0"/>
      </w:pPr>
    </w:p>
    <w:p>
      <w:pPr>
        <w:bidi/>
        <w:spacing w:after="110" w:before="0" w:line="312"/>
      </w:pPr>
      <w:r>
        <w:rPr>
          <w:rFonts w:ascii="Arial" w:cs="Arial" w:eastAsia="Arial" w:hAnsi="Arial"/>
          <w:b/>
          <w:bCs/>
          <w:sz w:val="21"/>
          <w:szCs w:val="21"/>
          <w:rtl/>
        </w:rPr>
        <w:t xml:space="preserve">DOC-B06 — مواصفة بيانات الاختبار والتجهيل</w:t>
      </w:r>
      <w:r>
        <w:rPr>
          <w:rFonts w:ascii="Arial" w:cs="Arial" w:eastAsia="Arial" w:hAnsi="Arial"/>
          <w:b w:val="false"/>
          <w:bCs w:val="false"/>
          <w:sz w:val="21"/>
          <w:szCs w:val="21"/>
          <w:rtl/>
        </w:rPr>
        <w:t xml:space="preserve"> (5)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43"/>
        <w:gridCol w:w="3088"/>
        <w:gridCol w:w="2851"/>
        <w:gridCol w:w="1682"/>
      </w:tblGrid>
      <w:tr>
        <w:trPr>
          <w:cantSplit/>
          <w:tblHeader/>
        </w:trPr>
        <w:tc>
          <w:tcPr>
            <w:tcW w:type="dxa" w:w="22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0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6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DQ-B06-1</w:t>
            </w:r>
          </w:p>
        </w:tc>
        <w:tc>
          <w:tcPr>
            <w:tcW w:type="dxa" w:w="3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تُستعمل بيانات العميل الرئيسية مجهّلة في UAT؟</w:t>
            </w:r>
          </w:p>
        </w:tc>
        <w:tc>
          <w:tcPr>
            <w:tcW w:type="dxa" w:w="2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افتراضيًا؛ DS-AGR مع بيانات اصطناعية، والتجهيل لغيرها باعتماد LEG فقط</w:t>
            </w:r>
          </w:p>
        </w:tc>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w:t>
            </w:r>
          </w:p>
        </w:tc>
      </w:tr>
      <w:tr>
        <w:trPr>
          <w:cantSplit/>
        </w:trPr>
        <w:tc>
          <w:tcPr>
            <w:tcW w:type="dxa" w:w="2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DQ-B06-2</w:t>
            </w:r>
          </w:p>
        </w:tc>
        <w:tc>
          <w:tcPr>
            <w:tcW w:type="dxa" w:w="3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يتحقق خروج S2 بالاتفاقيات «الفعلية»</w:t>
            </w:r>
          </w:p>
        </w:tc>
        <w:tc>
          <w:tcPr>
            <w:tcW w:type="dxa" w:w="2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ببنيتها كاملة مجهّلة في الاختبار، وبقيمها الحقيقية في الإنتاج عند التجربة (§6.5)</w:t>
            </w:r>
          </w:p>
        </w:tc>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w:t>
            </w:r>
          </w:p>
        </w:tc>
      </w:tr>
      <w:tr>
        <w:trPr>
          <w:cantSplit/>
        </w:trPr>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DQ-B06-3</w:t>
            </w:r>
          </w:p>
        </w:tc>
        <w:tc>
          <w:tcPr>
            <w:tcW w:type="dxa" w:w="3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 المبالغ</w:t>
            </w:r>
          </w:p>
        </w:tc>
        <w:tc>
          <w:tcPr>
            <w:tcW w:type="dxa" w:w="2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 سري واحد لكل اتفاقية بين 0.5 و2.0 ثم التقريب إلى ألف</w:t>
            </w:r>
          </w:p>
        </w:tc>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w:t>
            </w:r>
          </w:p>
        </w:tc>
      </w:tr>
      <w:tr>
        <w:trPr>
          <w:cantSplit/>
        </w:trPr>
        <w:tc>
          <w:tcPr>
            <w:tcW w:type="dxa" w:w="2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DQ-B06-5</w:t>
            </w:r>
          </w:p>
        </w:tc>
        <w:tc>
          <w:tcPr>
            <w:tcW w:type="dxa" w:w="3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يبقى من النسب</w:t>
            </w:r>
          </w:p>
        </w:tc>
        <w:tc>
          <w:tcPr>
            <w:tcW w:type="dxa" w:w="2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التقارير ونسب التعهدات وفراغها تبقى؛ الهوامش والرسوم تُستبدل</w:t>
            </w:r>
          </w:p>
        </w:tc>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w:t>
            </w:r>
          </w:p>
        </w:tc>
      </w:tr>
      <w:tr>
        <w:trPr>
          <w:cantSplit/>
        </w:trPr>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DQ-B06-9</w:t>
            </w:r>
          </w:p>
        </w:tc>
        <w:tc>
          <w:tcPr>
            <w:tcW w:type="dxa" w:w="3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الاعتماد للحزم</w:t>
            </w:r>
          </w:p>
        </w:tc>
        <w:tc>
          <w:tcPr>
            <w:tcW w:type="dxa" w:w="2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يعدّ، وشخص ثانٍ يراجع، وTRM يطابق البنية، وLEG يعتمد</w:t>
            </w:r>
          </w:p>
        </w:tc>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V-6</w:t>
            </w:r>
          </w:p>
        </w:tc>
      </w:tr>
    </w:tbl>
    <w:p>
      <w:pPr>
        <w:bidi/>
        <w:spacing w:after="120" w:before="0"/>
      </w:pPr>
    </w:p>
    <w:p>
      <w:pPr>
        <w:bidi/>
        <w:spacing w:after="110" w:before="0" w:line="312"/>
      </w:pPr>
      <w:r>
        <w:rPr>
          <w:rFonts w:ascii="Arial" w:cs="Arial" w:eastAsia="Arial" w:hAnsi="Arial"/>
          <w:b/>
          <w:bCs/>
          <w:sz w:val="21"/>
          <w:szCs w:val="21"/>
          <w:rtl/>
        </w:rPr>
        <w:t xml:space="preserve">DOC-B08 — مصفوفة التتبع: المتطلب والقاعدة والقبول والكيان والاختبار والشاشة</w:t>
      </w:r>
      <w:r>
        <w:rPr>
          <w:rFonts w:ascii="Arial" w:cs="Arial" w:eastAsia="Arial" w:hAnsi="Arial"/>
          <w:b w:val="false"/>
          <w:bCs w:val="false"/>
          <w:sz w:val="21"/>
          <w:szCs w:val="21"/>
          <w:rtl/>
        </w:rPr>
        <w:t xml:space="preserve"> (1)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20"/>
        <w:gridCol w:w="2113"/>
        <w:gridCol w:w="2818"/>
        <w:gridCol w:w="2113"/>
      </w:tblGrid>
      <w:tr>
        <w:trPr>
          <w:cantSplit/>
          <w:tblHeader/>
        </w:trPr>
        <w:tc>
          <w:tcPr>
            <w:tcW w:type="dxa" w:w="2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DQ-B08-5</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بوابة الخروج</w:t>
            </w:r>
          </w:p>
        </w:tc>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كل شريحة</w:t>
            </w:r>
          </w:p>
        </w:tc>
      </w:tr>
    </w:tbl>
    <w:p>
      <w:pPr>
        <w:bidi/>
        <w:spacing w:after="120" w:before="0"/>
      </w:pPr>
    </w:p>
    <w:p>
      <w:pPr>
        <w:pStyle w:val="Heading2"/>
        <w:bidi/>
      </w:pPr>
      <w:bookmarkStart w:name="_sec10" w:id="10"/>
      <w:r>
        <w:rPr>
          <w:rFonts w:ascii="Arial" w:cs="Arial" w:eastAsia="Arial" w:hAnsi="Arial"/>
          <w:b/>
          <w:bCs/>
          <w:color w:val="2B5C8A"/>
          <w:sz w:val="26"/>
          <w:szCs w:val="26"/>
          <w:rtl/>
        </w:rPr>
        <w:t xml:space="preserve">3.3 مستندات P2 (قبل الإطلاق)</w:t>
      </w:r>
      <w:bookmarkEnd w:id="10"/>
    </w:p>
    <w:p>
      <w:pPr>
        <w:bidi/>
        <w:spacing w:after="110" w:before="0" w:line="312"/>
      </w:pPr>
      <w:r>
        <w:rPr>
          <w:rFonts w:ascii="Arial" w:cs="Arial" w:eastAsia="Arial" w:hAnsi="Arial"/>
          <w:b/>
          <w:bCs/>
          <w:sz w:val="21"/>
          <w:szCs w:val="21"/>
          <w:rtl/>
        </w:rPr>
        <w:t xml:space="preserve">DOC-S15 — إجراء الاستجابة للحوادث الأمنية وإخطار خرق البيانات</w:t>
      </w:r>
      <w:r>
        <w:rPr>
          <w:rFonts w:ascii="Arial" w:cs="Arial" w:eastAsia="Arial" w:hAnsi="Arial"/>
          <w:b w:val="false"/>
          <w:bCs w:val="false"/>
          <w:sz w:val="21"/>
          <w:szCs w:val="21"/>
          <w:rtl/>
        </w:rPr>
        <w:t xml:space="preserve"> (7)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89"/>
        <w:gridCol w:w="2423"/>
        <w:gridCol w:w="2863"/>
        <w:gridCol w:w="2289"/>
      </w:tblGrid>
      <w:tr>
        <w:trPr>
          <w:cantSplit/>
          <w:tblHeader/>
        </w:trPr>
        <w:tc>
          <w:tcPr>
            <w:tcW w:type="dxa" w:w="22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4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2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DQ-S15-1</w:t>
            </w:r>
          </w:p>
        </w:tc>
        <w:tc>
          <w:tcPr>
            <w:tcW w:type="dxa" w:w="2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يقود الحوادث وكيف تُغطى الساعات</w:t>
            </w:r>
          </w:p>
        </w:tc>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قائدًا وOPS نائبًا، والمناوبة كما في DQ-S12-10</w:t>
            </w:r>
          </w:p>
        </w:tc>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الإطلاق</w:t>
            </w:r>
          </w:p>
        </w:tc>
      </w:tr>
      <w:tr>
        <w:trPr>
          <w:cantSplit/>
        </w:trPr>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DQ-S15-3</w:t>
            </w:r>
          </w:p>
        </w:tc>
        <w:tc>
          <w:tcPr>
            <w:tcW w:type="dxa" w:w="2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مقياس الشدة وأزمنته</w:t>
            </w:r>
          </w:p>
        </w:tc>
        <w:tc>
          <w:tcPr>
            <w:tcW w:type="dxa" w:w="2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§4</w:t>
            </w:r>
          </w:p>
        </w:tc>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DQ-S15-4</w:t>
            </w:r>
          </w:p>
        </w:tc>
        <w:tc>
          <w:tcPr>
            <w:tcW w:type="dxa" w:w="2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الهدف الداخلي لإبلاغ المشترك</w:t>
            </w:r>
          </w:p>
        </w:tc>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ساعة من التأكيد، ويُثبت في عقد الاشتراك</w:t>
            </w:r>
          </w:p>
        </w:tc>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§10.2، DQ-S07-3</w:t>
            </w:r>
          </w:p>
        </w:tc>
      </w:tr>
      <w:tr>
        <w:trPr>
          <w:cantSplit/>
        </w:trPr>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DQ-S15-5</w:t>
            </w:r>
          </w:p>
        </w:tc>
        <w:tc>
          <w:tcPr>
            <w:tcW w:type="dxa" w:w="2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القانون والجهات ومهلها، وهل تبلّغ المنصة بنفسها عن بياناتها</w:t>
            </w:r>
          </w:p>
        </w:tc>
        <w:tc>
          <w:tcPr>
            <w:tcW w:type="dxa" w:w="2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يحدده المستشار لكل دولة قبل الإطلاق</w:t>
            </w:r>
          </w:p>
        </w:tc>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§10.3، X-AUD-4</w:t>
            </w:r>
          </w:p>
        </w:tc>
      </w:tr>
      <w:tr>
        <w:trPr>
          <w:cantSplit/>
        </w:trPr>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DQ-S15-7</w:t>
            </w:r>
          </w:p>
        </w:tc>
        <w:tc>
          <w:tcPr>
            <w:tcW w:type="dxa" w:w="2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وقف قراءة مشترك كامل</w:t>
            </w:r>
          </w:p>
        </w:tc>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حسم O-18 بحيث يرفض </w:t>
            </w:r>
            <w:r>
              <w:rPr>
                <w:rFonts w:ascii="Courier New" w:cs="Courier New" w:eastAsia="Courier New" w:hAnsi="Courier New"/>
                <w:b w:val="false"/>
                <w:bCs w:val="false"/>
                <w:color w:val="1F2937"/>
                <w:sz w:val="16"/>
                <w:szCs w:val="16"/>
                <w:shd w:fill="F1F3F5" w:color="auto" w:val="clear"/>
                <w:rtl/>
              </w:rPr>
              <w:t xml:space="preserve">‎SUSPENDED‎</w:t>
            </w:r>
            <w:r>
              <w:rPr>
                <w:rFonts w:ascii="Arial" w:cs="Arial" w:eastAsia="Arial" w:hAnsi="Arial"/>
                <w:b w:val="false"/>
                <w:bCs w:val="false"/>
                <w:sz w:val="18"/>
                <w:szCs w:val="18"/>
                <w:rtl/>
              </w:rPr>
              <w:t xml:space="preserve"> الربط الجديد إلا لمن تسمح له BR-PLT-002</w:t>
            </w:r>
          </w:p>
        </w:tc>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§8.2</w:t>
            </w:r>
          </w:p>
        </w:tc>
      </w:tr>
      <w:tr>
        <w:trPr>
          <w:cantSplit/>
        </w:trPr>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DQ-S15-8</w:t>
            </w:r>
          </w:p>
        </w:tc>
        <w:tc>
          <w:tcPr>
            <w:tcW w:type="dxa" w:w="2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لقطة القرص دليلًا</w:t>
            </w:r>
          </w:p>
        </w:tc>
        <w:tc>
          <w:tcPr>
            <w:tcW w:type="dxa" w:w="2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بموافقة OWN فقط، ومعاملة المقيّد</w:t>
            </w:r>
          </w:p>
        </w:tc>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E-6</w:t>
            </w:r>
          </w:p>
        </w:tc>
      </w:tr>
      <w:tr>
        <w:trPr>
          <w:cantSplit/>
        </w:trPr>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DQ-S15-9</w:t>
            </w:r>
          </w:p>
        </w:tc>
        <w:tc>
          <w:tcPr>
            <w:tcW w:type="dxa" w:w="2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الفدية</w:t>
            </w:r>
          </w:p>
        </w:tc>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دفع</w:t>
            </w:r>
          </w:p>
        </w:tc>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§8.4</w:t>
            </w:r>
          </w:p>
        </w:tc>
      </w:tr>
    </w:tbl>
    <w:p>
      <w:pPr>
        <w:bidi/>
        <w:spacing w:after="120" w:before="0"/>
      </w:pPr>
    </w:p>
    <w:p>
      <w:pPr>
        <w:bidi/>
        <w:spacing w:after="110" w:before="0" w:line="312"/>
      </w:pPr>
      <w:r>
        <w:rPr>
          <w:rFonts w:ascii="Arial" w:cs="Arial" w:eastAsia="Arial" w:hAnsi="Arial"/>
          <w:b/>
          <w:bCs/>
          <w:sz w:val="21"/>
          <w:szCs w:val="21"/>
          <w:rtl/>
        </w:rPr>
        <w:t xml:space="preserve">DOC-B12 — خطة قبول المستخدم والإطلاق التجريبي</w:t>
      </w:r>
      <w:r>
        <w:rPr>
          <w:rFonts w:ascii="Arial" w:cs="Arial" w:eastAsia="Arial" w:hAnsi="Arial"/>
          <w:b w:val="false"/>
          <w:bCs w:val="false"/>
          <w:sz w:val="21"/>
          <w:szCs w:val="21"/>
          <w:rtl/>
        </w:rPr>
        <w:t xml:space="preserve"> (9)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36"/>
        <w:gridCol w:w="3116"/>
        <w:gridCol w:w="2595"/>
        <w:gridCol w:w="1817"/>
      </w:tblGrid>
      <w:tr>
        <w:trPr>
          <w:cantSplit/>
          <w:tblHeader/>
        </w:trPr>
        <w:tc>
          <w:tcPr>
            <w:tcW w:type="dxa" w:w="23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1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5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DQ-B12-1</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 لكل شريحة أم UAT نهائي فقط؟</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 لكل شريحة من S1، وثلاثة أسابيع نهائية بعد S5</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المشروع</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DQ-B12-2</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التجربة وشكلها</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ثمانية أسابيع بتشغيل موازٍ والعملية اليدوية سجل رسمي</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DQ-B12-3</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المشترك التجريبي</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مجموعة العميل التي زوّدت الاتفاقيات</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DQ-B12-4</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أعداد المشاركين لكل دور</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§5</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UAT</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DQ-B12-5</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خروج التجربة</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§8.3، ومنها عشرة طلبات اعتماد حقيقية</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الإطلاق</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DQ-B12-6</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قرار التجربة والإطلاق</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بتوصية QA وSEC وOPS، ولـ LEG رفض في بنود حماية البيانات</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DQ-B12-7</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FR-PLT-039 بأولوية Should في S5، والتراجع يعتمد عليه</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رفعه إلى Must للتجربة، أو إجراء تصدير بيد DBA موثّق</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البند 13، §10.3</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DQ-B12-9</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مشاركة المالية في UAT</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تُضاف المالية إلى الأقسام الثلاثة لأجل S2-ب</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DQ-B12-11</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نصوص السيناريوهات للمشاركين</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مع شرح عربي في جلسة التدريب، حتى تصدر الواجهة العربية</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سجل قرارات المالك · BankFas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سجل القرارات المطلوبة من المالك</dc:title>
  <dc:creator>Claude</dc:creator>
  <dc:description>BankFas database design document</dc:description>
  <cp:lastModifiedBy>Un-named</cp:lastModifiedBy>
  <cp:revision>1</cp:revision>
  <dcterms:created xsi:type="dcterms:W3CDTF">2026-10-23T14:38:21.600Z</dcterms:created>
  <dcterms:modified xsi:type="dcterms:W3CDTF">2026-10-23T14:38:21.601Z</dcterms:modified>
</cp:coreProperties>
</file>

<file path=docProps/custom.xml><?xml version="1.0" encoding="utf-8"?>
<Properties xmlns="http://schemas.openxmlformats.org/officeDocument/2006/custom-properties" xmlns:vt="http://schemas.openxmlformats.org/officeDocument/2006/docPropsVTypes"/>
</file>