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المرحلة الثانية: بناء التطبيق — الشريحة S3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التاريخ: 2026-10-23. الطلب 42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‎docs/31‎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والقرار المعماري ADR 0045.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كتب هذا البناء وهذا التقرير وكيلُ ذكاء اصطناعي. وكتب كذلك القوالب الافتراضية للطلبات وحزم الاعتمادات والرسائل. كلها مقترحة منه، وتحتاج مراجعة الخزينة.</w:t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ما طلبه المالك</w:t>
      </w:r>
      <w:bookmarkEnd w:id="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طلب المالك بعد تقرير الخبير: «ثم اكمل فورًا بقية النظام». فبدأ بناء S3 على موجزها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‎s3_brief‎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)، وفيه 141 متطلبًا وظيفيًا (121 منها Must) وثماني دفعات A إلى H.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الأسئلة المفتوحة التسعة عشر (OQ-1 إلى OQ-19) بُنيت على افتراضاتها الموصى بها، وهي بانتظار اعتماد المالك.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ملخصها في §4.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S3 ثلاث وحدات: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محرك سير العمل والطلبات.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القوالب والمراحل والانتقالات وخانات الموافقة وفصل المهام. وفيها أيضًا الطابور والسحب، ومهلة الإنجاز والتصعيد، والتفويض، وصندوق المهام.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خدمات التسهيلات التي يستدعيها المحرك.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فحص التوفر والحجز وتجاوزه، وتحويل الحجز إلى استغلال، والإفراج عنه.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الاعتماد المستندي للمشتريات.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 شروطه إلى إصداره، ثم تقديم المستندات والتسديد والتعديل والانتهاء والإغلاق.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مسار الخروج (OQ-19):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AC-REQ-1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AC-WFL-3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AC-LCI-1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والتعديلات (AC-LCI-2 وAC-WFL-7) لها اختباراتها الخاصة.</w:t>
      </w:r>
    </w:p>
    <w:p>
      <w:pPr>
        <w:bidi/>
        <w:spacing w:after="60" w:before="0"/>
      </w:pP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الدفعات</w:t>
      </w:r>
      <w:bookmarkEnd w:id="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23"/>
        <w:gridCol w:w="5321"/>
        <w:gridCol w:w="2120"/>
      </w:tblGrid>
      <w:tr>
        <w:trPr>
          <w:cantSplit/>
          <w:tblHeader/>
        </w:trPr>
        <w:tc>
          <w:tcPr>
            <w:tcW w:type="dxa" w:w="24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الدفعة</w:t>
            </w:r>
          </w:p>
        </w:tc>
        <w:tc>
          <w:tcPr>
            <w:tcW w:type="dxa" w:w="53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المحتوى</w:t>
            </w:r>
          </w:p>
        </w:tc>
        <w:tc>
          <w:tcPr>
            <w:tcW w:type="dxa" w:w="21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الإيداع</w:t>
            </w:r>
          </w:p>
        </w:tc>
      </w:tr>
      <w:tr>
        <w:trPr>
          <w:cantSplit/>
        </w:trPr>
        <w:tc>
          <w:tcPr>
            <w:tcW w:type="dxa" w:w="24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S3-A</w:t>
            </w:r>
          </w:p>
        </w:tc>
        <w:tc>
          <w:tcPr>
            <w:tcW w:type="dxa" w:w="53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حراسات 064، والإعدادات، والحزم (CORE.NUMBERING v3، CAT.LOOKUPS v3، CORE.EXPIRY v4، NTF.BASE v6، LC.BASE v1، WFL.BASE v1) ومثبّت القوالب، وخريطة الأخطاء، وإدارة المستخدم ومديره المباشر، والمبلغ كتابةً</w:t>
            </w:r>
          </w:p>
        </w:tc>
        <w:tc>
          <w:tcPr>
            <w:tcW w:type="dxa" w:w="21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cf52673 إلى 0523edf</w:t>
            </w:r>
          </w:p>
        </w:tc>
      </w:tr>
      <w:tr>
        <w:trPr>
          <w:cantSplit/>
        </w:trPr>
        <w:tc>
          <w:tcPr>
            <w:tcW w:type="dxa" w:w="24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S3-B</w:t>
            </w:r>
          </w:p>
        </w:tc>
        <w:tc>
          <w:tcPr>
            <w:tcW w:type="dxa" w:w="53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المحرك: التقديم، والخانات وفصل المهام، والمهام، والإرجاع وإعادة التقديم، والرفض، والإلغاء، والإقفال، والسحب والتحرير. ومعهما إسقاطا الطالب والموظف، وواجهة الطلبات وشاشاتها</w:t>
            </w:r>
          </w:p>
        </w:tc>
        <w:tc>
          <w:tcPr>
            <w:tcW w:type="dxa" w:w="21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5ebba67</w:t>
            </w:r>
          </w:p>
        </w:tc>
      </w:tr>
      <w:tr>
        <w:trPr>
          <w:cantSplit/>
        </w:trPr>
        <w:tc>
          <w:tcPr>
            <w:tcW w:type="dxa" w:w="24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S3-D وE وF (النواة)</w:t>
            </w:r>
          </w:p>
        </w:tc>
        <w:tc>
          <w:tcPr>
            <w:tcW w:type="dxa" w:w="53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مخزن الشروط وفحوص V-LCT، وفحص التوفر، والحجز مع التجاوز، والتحويل، وتسجيل الإصدار، وAC-REQ-1</w:t>
            </w:r>
          </w:p>
        </w:tc>
        <w:tc>
          <w:tcPr>
            <w:tcW w:type="dxa" w:w="21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aa614ce</w:t>
            </w:r>
          </w:p>
        </w:tc>
      </w:tr>
      <w:tr>
        <w:trPr>
          <w:cantSplit/>
        </w:trPr>
        <w:tc>
          <w:tcPr>
            <w:tcW w:type="dxa" w:w="24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S3-C وD</w:t>
            </w:r>
          </w:p>
        </w:tc>
        <w:tc>
          <w:tcPr>
            <w:tcW w:type="dxa" w:w="53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التفويض، وإعادة الإسناد، والحالات الفرعية مع إيقاف المهلة، والأولوية، وصندوق المهام، ومهام المهلة والتفويض والتذكير وانتهاء الحجز والمسودات الخاملة</w:t>
            </w:r>
          </w:p>
        </w:tc>
        <w:tc>
          <w:tcPr>
            <w:tcW w:type="dxa" w:w="21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f63a30e</w:t>
            </w:r>
          </w:p>
        </w:tc>
      </w:tr>
      <w:tr>
        <w:trPr>
          <w:cantSplit/>
        </w:trPr>
        <w:tc>
          <w:tcPr>
            <w:tcW w:type="dxa" w:w="24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S3-F وG</w:t>
            </w:r>
          </w:p>
        </w:tc>
        <w:tc>
          <w:tcPr>
            <w:tcW w:type="dxa" w:w="53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الاعتمادات وبطاقة الاعتماد، وتقديم المستندات وتسديدها، والإغلاق، وانتهاء الاعتماد، والمطابقة الليلية، والتعديلات طلبًا فرعيًا</w:t>
            </w:r>
          </w:p>
        </w:tc>
        <w:tc>
          <w:tcPr>
            <w:tcW w:type="dxa" w:w="21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eaff077</w:t>
            </w:r>
          </w:p>
        </w:tc>
      </w:tr>
      <w:tr>
        <w:trPr>
          <w:cantSplit/>
        </w:trPr>
        <w:tc>
          <w:tcPr>
            <w:tcW w:type="dxa" w:w="24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SoD عند الحجز</w:t>
            </w:r>
          </w:p>
        </w:tc>
        <w:tc>
          <w:tcPr>
            <w:tcW w:type="dxa" w:w="53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اختار التسهيل لا يوافق على حجزه (OQ-9)</w:t>
            </w:r>
          </w:p>
        </w:tc>
        <w:tc>
          <w:tcPr>
            <w:tcW w:type="dxa" w:w="21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هذا الإيداع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ما طلبه المالك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الدفعات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ما يعمل الآن</w:t>
        </w:r>
      </w:hyperlink>
    </w:p>
    <w:p>
      <w:pPr>
        <w:bidi/>
        <w:spacing w:after="50" w:before="0"/>
        <w:ind w:left="0"/>
      </w:pPr>
      <w:hyperlink w:history="1" w:anchor="_sec7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الافتراضات بانتظار الاعتماد (OQ-1 إلى OQ-19)</w:t>
        </w:r>
      </w:hyperlink>
    </w:p>
    <w:p>
      <w:pPr>
        <w:bidi/>
        <w:spacing w:after="50" w:before="0"/>
        <w:ind w:left="0"/>
      </w:pPr>
      <w:hyperlink w:history="1" w:anchor="_sec8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ما لم يُبنَ بعد والانحرافات</w:t>
        </w:r>
      </w:hyperlink>
    </w:p>
    <w:p>
      <w:pPr>
        <w:bidi/>
        <w:spacing w:after="50" w:before="0"/>
        <w:ind w:left="0"/>
      </w:pPr>
      <w:hyperlink w:history="1" w:anchor="_sec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الاختبار</w:t>
        </w:r>
      </w:hyperlink>
    </w:p>
    <w:p>
      <w:r>
        <w:br w:type="page"/>
      </w: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ما يعمل الآن</w:t>
      </w:r>
      <w:bookmarkEnd w:id="3"/>
    </w:p>
    <w:p>
      <w:pPr>
        <w:pStyle w:val="Heading2"/>
        <w:bidi/>
      </w:pPr>
      <w:bookmarkStart w:name="_sec4" w:id="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3.1 المحرك والطلبات (S3-B)</w:t>
      </w:r>
      <w:bookmarkEnd w:id="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القوالب.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القوالب الستة منشورة لكل مشترك جديد من الحزمة WFL.BASE. والقالب المنشور لا يُعدّل، والتعديل نسخة جديدة (AC-WFL-6). ويبقى الطلب على نسخة القالب التي قُدّم عليها.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التقديم.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يفحص الحقول الإلزامية وشروط الاعتماد. والخانة الأولى لمقدّم الطلب تكتمل بالتقديم نفسه.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الموافقات.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موافقة المدير تأتي من المدير المباشر، ثم رئيس الإدارة، ثم الدور البديل.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يوافق أحد على طلب أنشأه أو طلبه.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ولا يشغل مستخدم واحد خانتين في مرحلة واحدة، إلا بإذن القالب، ويُوسم الطلب حينها.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الترقيم.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الرقم يُخصّص عند دخول المرحلة المحددة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‎LCP-26-0001‎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لاعتماد المشتريات)، ولا يُعاد.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الإسقاطان.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يرى الطالب المرحلة الظاهرة فقط، ولا يرى مرحلة الخزينة الداخلية ولا تعليقاتها ولا الحجز.</w:t>
      </w:r>
    </w:p>
    <w:p>
      <w:pPr>
        <w:bidi/>
        <w:spacing w:after="60" w:before="0"/>
      </w:pPr>
    </w:p>
    <w:p>
      <w:pPr>
        <w:pStyle w:val="Heading2"/>
        <w:bidi/>
      </w:pPr>
      <w:bookmarkStart w:name="_sec5" w:id="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3.2 الطابور والمهلة والتفويض (S3-C)</w:t>
      </w:r>
      <w:bookmarkEnd w:id="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السحب.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سحب الطابور ذرّي: من يضغط معًا ينجح واحد منهم، ويتلقى الآخر 409.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التحرير يعيد الطلب إلى الطابور.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إعادة الإسناد لحامل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‎req.reassign‎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بسبب مكتوب، إلى مستخدم مؤهل يرى شركة الطلب وليس طالبه. ويصل الإشعار إلى المسند إليه وحده، ولا يصل الطالب منه شيء.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الحالات الفرعية.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يغيّرها المسند إليه وحده.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«في البنك» توقف مهلة الإنجاز.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الخروج منها يؤخر الموعد بساعات العمل التي توقفت فيها المهلة.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مهلة الإنجاز (JOB-WFL-SLA كل خمس دقائق).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تُحسب بساعات العمل في تقويم المشترك.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تصير «معرّضة للتأخر» حين يبقى خُمس المهلة أو أقل، ويصل إشعارها مرة واحدة.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تصير «متأخرة» عند الموعد، ويصل إشعارها ويُصعَّد إلى مدير الخزينة.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يتكرر التصعيد مرة في كل يوم عمل من بدايته، لا قبلها.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التفويض.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مدته 90 يومًا كحد أقصى، ولا يبدأ في الماضي، ولا تتداخل فترات المفوِّض، ولا يتسلسل.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يرى المفوَّض خانات المفوِّض ويوافق عليها. ويُسجَّل الفاعل المفوَّض، ويُسجَّل أنه «نيابةً عن» المفوِّض.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يوافق المفوَّض على طلبه هو، ولا يُفوَّض تجاوز الحد.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الإلغاء فوري، فلا يرى المفوَّض بعده شيئًا.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التذكير (JOB-NTF-REMIND).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إشعار «يلزم إجراء» يُذكَّر به بعد 24 ثم 48 ثم 72 ساعة عمل، ثلاث مرات كحد أقصى، وفي ساعات العمل فقط. ويتوقف فور انتقال الطلب.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صندوق المهام.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فيه موافقاتي (ومنها موافقات من فوّضني)، ومهامي، والطابور الذي أستطيع سحبه (العاجل أولًا ثم الأقدم)، وطلباتي التي تنتظرني، مع عدّاداتها.</w:t>
      </w:r>
    </w:p>
    <w:p>
      <w:pPr>
        <w:bidi/>
        <w:spacing w:after="60" w:before="0"/>
      </w:pPr>
    </w:p>
    <w:p>
      <w:pPr>
        <w:pStyle w:val="Heading2"/>
        <w:bidi/>
      </w:pPr>
      <w:bookmarkStart w:name="_sec6" w:id="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3.3 الحجز وحياة الاعتماد (S3-D وF وG)</w:t>
      </w:r>
      <w:bookmarkEnd w:id="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الحجز.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موافقة مدير الخزينة تحجز التعرض مع التسامح الموجب. وإذا لم يكفِ المتاح رُفضت الموافقة ولم تُسجَّل خانتها.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التجاوز يحتاج تفعيل الإعداد، وصلاحية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‎fac.override_limit‎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وسببًا مكتوبًا، ويُرسل تنبيهًا.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إلغاء الطلب يحرر حجزه في معاملة الإلغاء نفسها.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الحجز المنتهي يُحرَّر بانتهائه، فيصير حجز الطلب «مفقودًا».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الإصدار.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يحوّل الحجز إلى استغلال، وينشئ الاعتماد بشروطه الصادرة في المعاملة نفسها، ثم يقفل مدير الخزينة الطلب.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السجل والبطاقة.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يبحث السجل برقم الاعتماد مكتوبًا بأي صيغة، وباسم المورد، وبرقم الطلب. ويرى الطالب اعتمادات طلباته. ولا تظهر أرقام التسهيل والهامش والاستغلال إلا لحامل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‎lc.view.internal‎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تقديم المستندات والتسديد.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يتجاوز المسحوب التعرض.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التقديم بعد الانتهاء يحتاج سببًا من مدير الخزينة.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لكل تقديم موعد فحص بأيام العمل، وموعد استحقاق للاعتماد الآجل.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التسديد يخفض الاستغلال بقدر المدفوع.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الإغلاق والانتهاء.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الإغلاق ينتظر التقديمات المفتوحة، ثم يحرر الباقي.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الانتهاء يبقى المسحوب غير المدفوع، ويُحرَّر الباقي.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المطابقة الليلية تقارن المجاميع بالسحوبات، والاستغلال بالتعرض ناقص المدفوع، وتبلّغ ولا تصحح.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التعديل.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التعديل طلب فرعي على الاعتماد.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شروطه نسخة من شروط الاعتماد مع التغييرات، وتُقفل عند تقديمه.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تمر الزيادة على مدير الخزينة، فيحجز فرقها على خط الاعتماد نفسه. وتُرفض الزيادة التي لا يتسع لها المتاح.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يُسجَّل رد البنك والمستفيد. والقبول يطبّق التعديل: مبلغ جديد، ونسخة شروط صادرة جديدة، ورقم التعديل من البنك، واستغلال يتحرك بالفرق.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تعديل مفتوح واحد لكل اعتماد في كل مرة.</w:t>
      </w:r>
    </w:p>
    <w:p>
      <w:pPr>
        <w:bidi/>
        <w:spacing w:after="60" w:before="0"/>
      </w:pPr>
    </w:p>
    <w:p>
      <w:pPr>
        <w:pStyle w:val="Heading1"/>
        <w:bidi/>
      </w:pPr>
      <w:bookmarkStart w:name="_sec7" w:id="7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الافتراضات بانتظار الاعتماد (OQ-1 إلى OQ-19)</w:t>
      </w:r>
      <w:bookmarkEnd w:id="7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99"/>
        <w:gridCol w:w="6165"/>
      </w:tblGrid>
      <w:tr>
        <w:trPr>
          <w:cantSplit/>
          <w:tblHeader/>
        </w:trPr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61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بُني</w:t>
            </w:r>
          </w:p>
        </w:tc>
      </w:tr>
      <w:tr>
        <w:trPr>
          <w:cantSplit/>
        </w:trPr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OQ-1 أين يعمل المحرك</w:t>
            </w:r>
          </w:p>
        </w:tc>
        <w:tc>
          <w:tcPr>
            <w:tcW w:type="dxa" w:w="61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في التطبيق (C#)، وتبقى حراسات القاعدة وفحوصها</w:t>
            </w:r>
          </w:p>
        </w:tc>
      </w:tr>
      <w:tr>
        <w:trPr>
          <w:cantSplit/>
        </w:trPr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OQ-2 بذر القوالب</w:t>
            </w:r>
          </w:p>
        </w:tc>
        <w:tc>
          <w:tcPr>
            <w:tcW w:type="dxa" w:w="61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مثبّت يقرأ JSON من حزمة WFL.BASE وينشر القوالب باسم حساب خدمة المشترك</w:t>
            </w:r>
          </w:p>
        </w:tc>
      </w:tr>
      <w:tr>
        <w:trPr>
          <w:cantSplit/>
        </w:trPr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OQ-3 إصدار البنك أكثر من المحجوز</w:t>
            </w:r>
          </w:p>
        </w:tc>
        <w:tc>
          <w:tcPr>
            <w:tcW w:type="dxa" w:w="61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يُرفض الإصدار (V-LCI-02)، ويعود الطلب إلى موافقة مدير الخزينة</w:t>
            </w:r>
          </w:p>
        </w:tc>
      </w:tr>
      <w:tr>
        <w:trPr>
          <w:cantSplit/>
        </w:trPr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OQ-4 رقم التعديل في الاعتماد</w:t>
            </w:r>
          </w:p>
        </w:tc>
        <w:tc>
          <w:tcPr>
            <w:tcW w:type="dxa" w:w="61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رقم التعديل المطبَّق نفسه كما يعطيه البنك</w:t>
            </w:r>
          </w:p>
        </w:tc>
      </w:tr>
      <w:tr>
        <w:trPr>
          <w:cantSplit/>
        </w:trPr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OQ-5 من يقفل شروط التعديل ويحسب الفرق</w:t>
            </w:r>
          </w:p>
        </w:tc>
        <w:tc>
          <w:tcPr>
            <w:tcW w:type="dxa" w:w="61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الشروط عند تقديم التعديل؛ والفرق فرق التعرض مع التسامح</w:t>
            </w:r>
          </w:p>
        </w:tc>
      </w:tr>
      <w:tr>
        <w:trPr>
          <w:cantSplit/>
        </w:trPr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OQ-6 أين يُحرَّر الحجز</w:t>
            </w:r>
          </w:p>
        </w:tc>
        <w:tc>
          <w:tcPr>
            <w:tcW w:type="dxa" w:w="61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عند دخول مرحلتي الرفض والإلغاء النهائيتين، ولا يفعل شيئًا بلا حجز</w:t>
            </w:r>
          </w:p>
        </w:tc>
      </w:tr>
      <w:tr>
        <w:trPr>
          <w:cantSplit/>
        </w:trPr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OQ-7 الخروج من طابور الخزينة</w:t>
            </w:r>
          </w:p>
        </w:tc>
        <w:tc>
          <w:tcPr>
            <w:tcW w:type="dxa" w:w="61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السحب ينقل الطلب إلى التنفيذ مسندًا إلى الساحب</w:t>
            </w:r>
          </w:p>
        </w:tc>
      </w:tr>
      <w:tr>
        <w:trPr>
          <w:cantSplit/>
        </w:trPr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OQ-8 القالبان الفرعيان القياسيان</w:t>
            </w:r>
          </w:p>
        </w:tc>
        <w:tc>
          <w:tcPr>
            <w:tcW w:type="dxa" w:w="61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مفتاح لكل نوع، ومرحلة إرجاع في كل قالب فيه موافقة</w:t>
            </w:r>
          </w:p>
        </w:tc>
      </w:tr>
      <w:tr>
        <w:trPr>
          <w:cantSplit/>
        </w:trPr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OQ-9 فصل المهام عند الحجز</w:t>
            </w:r>
          </w:p>
        </w:tc>
        <w:tc>
          <w:tcPr>
            <w:tcW w:type="dxa" w:w="61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يوافق من اختار التسهيل، ولا الطالب، ولا المنشئ، إلا بإذن القالب، ويوسم الطلب حينها</w:t>
            </w:r>
          </w:p>
        </w:tc>
      </w:tr>
      <w:tr>
        <w:trPr>
          <w:cantSplit/>
        </w:trPr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OQ-10 تكرار الإجراء</w:t>
            </w:r>
          </w:p>
        </w:tc>
        <w:tc>
          <w:tcPr>
            <w:tcW w:type="dxa" w:w="61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مفتاح Idempotency-Key محفوظ في سجل إجراءات الطلب؛ والتكرار لا يُحدث أثرًا ثانيًا</w:t>
            </w:r>
          </w:p>
        </w:tc>
      </w:tr>
      <w:tr>
        <w:trPr>
          <w:cantSplit/>
        </w:trPr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OQ-11 مستلمو الإشعارات</w:t>
            </w:r>
          </w:p>
        </w:tc>
        <w:tc>
          <w:tcPr>
            <w:tcW w:type="dxa" w:w="61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يحددهم المحرك ويضيف المفوَّضين. ولا تظهر في الإشعارات أرقام التسهيل أو الحجز</w:t>
            </w:r>
          </w:p>
        </w:tc>
      </w:tr>
      <w:tr>
        <w:trPr>
          <w:cantSplit/>
        </w:trPr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OQ-12 مواعيد المهام</w:t>
            </w:r>
          </w:p>
        </w:tc>
        <w:tc>
          <w:tcPr>
            <w:tcW w:type="dxa" w:w="61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خمس دقائق: المهلة. كل ساعة: التفويض والتذكير وانتهاء الحجز. يوميًا: المسودات الخاملة، ثم انتهاء الاعتمادات، ثم المطابقة</w:t>
            </w:r>
          </w:p>
        </w:tc>
      </w:tr>
      <w:tr>
        <w:trPr>
          <w:cantSplit/>
        </w:trPr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OQ-13 بيانات الخروج</w:t>
            </w:r>
          </w:p>
        </w:tc>
        <w:tc>
          <w:tcPr>
            <w:tcW w:type="dxa" w:w="61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DS-AGR C مع حزمة DS-LC-C الاصطناعية (لم تُبنَ بعد، §5)</w:t>
            </w:r>
          </w:p>
        </w:tc>
      </w:tr>
      <w:tr>
        <w:trPr>
          <w:cantSplit/>
        </w:trPr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OQ-14 الطباعة</w:t>
            </w:r>
          </w:p>
        </w:tc>
        <w:tc>
          <w:tcPr>
            <w:tcW w:type="dxa" w:w="61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صفحات HTML يطبعها المتصفح (لم تُبنَ بعد، §5)</w:t>
            </w:r>
          </w:p>
        </w:tc>
      </w:tr>
      <w:tr>
        <w:trPr>
          <w:cantSplit/>
        </w:trPr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OQ-15 التقارير في S3</w:t>
            </w:r>
          </w:p>
        </w:tc>
        <w:tc>
          <w:tcPr>
            <w:tcW w:type="dxa" w:w="61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لوحات الطلبات ولوحة التوفر وR-WFL-07 وR-LCI-02 (لم تُبنَ بعد كلها، §5)</w:t>
            </w:r>
          </w:p>
        </w:tc>
      </w:tr>
      <w:tr>
        <w:trPr>
          <w:cantSplit/>
        </w:trPr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OQ-16 شاشات إدارة الشروط</w:t>
            </w:r>
          </w:p>
        </w:tc>
        <w:tc>
          <w:tcPr>
            <w:tcW w:type="dxa" w:w="61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محرر الشروط والبنود والرسوم والأطراف المقابلة؛ والباقي بالواجهة البرمجية</w:t>
            </w:r>
          </w:p>
        </w:tc>
      </w:tr>
      <w:tr>
        <w:trPr>
          <w:cantSplit/>
        </w:trPr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OQ-17 كفاية التواقيع</w:t>
            </w:r>
          </w:p>
        </w:tc>
        <w:tc>
          <w:tcPr>
            <w:tcW w:type="dxa" w:w="61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تُفحص حين يوجد مخوَّلون، وإلا يُسجَّل «لم يُفحص»</w:t>
            </w:r>
          </w:p>
        </w:tc>
      </w:tr>
      <w:tr>
        <w:trPr>
          <w:cantSplit/>
        </w:trPr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OQ-18 انتهاء الحجز وأرشفة المسودات</w:t>
            </w:r>
          </w:p>
        </w:tc>
        <w:tc>
          <w:tcPr>
            <w:tcW w:type="dxa" w:w="61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انتهاء الحجز = تاريخ الإصدار المتوقع + مدة الاعتماد + 30 يومًا؛ والمسودة تُذكَّر بعد 30 يومًا وتؤرشف بعد 90</w:t>
            </w:r>
          </w:p>
        </w:tc>
      </w:tr>
      <w:tr>
        <w:trPr>
          <w:cantSplit/>
        </w:trPr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OQ-19 الخروج</w:t>
            </w:r>
          </w:p>
        </w:tc>
        <w:tc>
          <w:tcPr>
            <w:tcW w:type="dxa" w:w="61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AC-REQ-1 وAC-WFL-3 وAC-LCI-1؛ والتعديلات باختباراتها الخاصة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8" w:id="8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ما لم يُبنَ بعد والانحرافات</w:t>
      </w:r>
      <w:bookmarkEnd w:id="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التنفيذ.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قناة التنفيذ وإيصال البنك قبل الإصدار (FR-LCI-010، والإعداد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‎lc.execution.require_receipt‎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 لم يُبنيا. الإصدار يطلب نسخة الاعتماد فقط.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بصمة الاستجابة.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الإجراء المكرَّر يُعرف بمفتاحه، لكن بصمة الاستجابة لا تُحفظ (OQ-10).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بقية الشروط (الدفعة E).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لم يُبنَ بعد: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تشفير IBAN في الشروط.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عرض البنود مع حاشية UCP.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قوالب نماذج البنوك.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الطباعة (OQ-14).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اختبار الحمل.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AC-FAC-12 عبر HTTP (مئة موافقة متزامنة) لم يُشغَّل بعد.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الشاشات.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لوحات المدير والطالب والموظف (FR-REQ-018 إلى 020) لم تُبنَ، ولا محرر الشروط في الواجهة.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بيانات الخروج والإضافات.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لم تُبنَ بعد حزمة DS-LC-C، ولا اختبار الواجهة الكامل، ولا إضافتا DOC-B02 وDOC-B07.</w:t>
      </w:r>
    </w:p>
    <w:p>
      <w:pPr>
        <w:bidi/>
        <w:spacing w:after="60" w:before="0"/>
      </w:pPr>
    </w:p>
    <w:p>
      <w:pPr>
        <w:pStyle w:val="Heading1"/>
        <w:bidi/>
      </w:pPr>
      <w:bookmarkStart w:name="_sec9" w:id="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الاختبار</w:t>
      </w:r>
      <w:bookmarkEnd w:id="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اختبارات التكامل الجديدة.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تعمل على قاعدة البيانات الحقيقية، وتنجح كلها: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WorkflowQueueTests (4): السحب والتحرير وإعادة الإسناد والحالة الفرعية، والتفويض، والمهلة، والتذكير.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PurchaseLcTests (7):</w:t>
      </w:r>
    </w:p>
    <w:p>
      <w:pPr>
        <w:pStyle w:val="ListParagraph"/>
        <w:numPr>
          <w:ilvl w:val="2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AC-REQ-1.</w:t>
      </w:r>
    </w:p>
    <w:p>
      <w:pPr>
        <w:pStyle w:val="ListParagraph"/>
        <w:numPr>
          <w:ilvl w:val="2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AC-WFL-3 مع التجاوز.</w:t>
      </w:r>
    </w:p>
    <w:p>
      <w:pPr>
        <w:pStyle w:val="ListParagraph"/>
        <w:numPr>
          <w:ilvl w:val="2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انتهاء الحجز.</w:t>
      </w:r>
    </w:p>
    <w:p>
      <w:pPr>
        <w:pStyle w:val="ListParagraph"/>
        <w:numPr>
          <w:ilvl w:val="2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التقديم والتسديد والإغلاق والانتهاء والمطابقة.</w:t>
      </w:r>
    </w:p>
    <w:p>
      <w:pPr>
        <w:pStyle w:val="ListParagraph"/>
        <w:numPr>
          <w:ilvl w:val="2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التعديل.</w:t>
      </w:r>
    </w:p>
    <w:p>
      <w:pPr>
        <w:pStyle w:val="ListParagraph"/>
        <w:numPr>
          <w:ilvl w:val="2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فصل المهام عند الحجز.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WorkflowFoundationTests وRequestEngineTests وTemplateVersionTests.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اختبارات الوحدة.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140 اختبارًا في BankFas.Core، ومنها أمثلة المواصفة 13 لساعات العمل (الموعد الأحد 14:00، والتعرّض للتأخر 12:24، والتذكير الأربعاء 15:00 ثم الاثنين 12:00 ثم الخميس 09:00).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الفحص الكامل (</w:t>
      </w:r>
      <w:r>
        <w:rPr>
          <w:rFonts w:ascii="Courier New" w:cs="Courier New" w:eastAsia="Courier New" w:hAnsi="Courier New"/>
          <w:b/>
          <w:bCs/>
          <w:color w:val="1F2937"/>
          <w:sz w:val="18"/>
          <w:szCs w:val="18"/>
          <w:shd w:fill="F1F3F5" w:color="auto" w:val="clear"/>
          <w:rtl/>
        </w:rPr>
        <w:t xml:space="preserve">‎tools/ci/app_ci.sh‎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).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نجح بعد إيداع f63a30e. ويعمل الآن على الإيداعات اللاحقة.</w:t>
      </w:r>
    </w:p>
    <w:p>
      <w:pPr>
        <w:bidi/>
        <w:spacing w:after="6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بناء الشريحة S3 · BankFas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المرحلة الثانية: بناء التطبيق — الشريحة S3</dc:title>
  <dc:creator>Claude</dc:creator>
  <dc:description>BankFas database design document</dc:description>
  <cp:lastModifiedBy>Un-named</cp:lastModifiedBy>
  <cp:revision>1</cp:revision>
  <dcterms:created xsi:type="dcterms:W3CDTF">2026-10-23T14:38:20.674Z</dcterms:created>
  <dcterms:modified xsi:type="dcterms:W3CDTF">2026-10-23T14:38:20.674Z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