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لم يُنفَّذ على SQL Server</w:t>
            </w:r>
            <w:r>
              <w:rPr>
                <w:rFonts w:ascii="Arial" w:cs="Arial" w:eastAsia="Arial" w:hAnsi="Arial"/>
                <w:b w:val="false"/>
                <w:bCs w:val="false"/>
                <w:sz w:val="18"/>
                <w:szCs w:val="18"/>
                <w:rtl/>
              </w:rPr>
              <w:t xml:space="preserve"> بعد (انظر §14)</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(194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1">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2">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6">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1">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3">
        <w:r>
          <w:rPr>
            <w:rFonts w:ascii="Arial" w:cs="Arial" w:eastAsia="Arial" w:hAnsi="Arial"/>
            <w:b/>
            <w:bCs/>
            <w:color w:val="1F3A5F"/>
            <w:sz w:val="20"/>
            <w:szCs w:val="20"/>
            <w:rtl/>
          </w:rPr>
          <w:t xml:space="preserve">8. الفهرسة</w:t>
        </w:r>
      </w:hyperlink>
    </w:p>
    <w:p>
      <w:pPr>
        <w:bidi/>
        <w:spacing w:after="50" w:before="0"/>
        <w:ind w:left="0"/>
      </w:pPr>
      <w:hyperlink w:history="1" w:anchor="_sec24">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29">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31">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33">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38">
        <w:r>
          <w:rPr>
            <w:rFonts w:ascii="Arial" w:cs="Arial" w:eastAsia="Arial" w:hAnsi="Arial"/>
            <w:b/>
            <w:bCs/>
            <w:color w:val="1F3A5F"/>
            <w:sz w:val="20"/>
            <w:szCs w:val="20"/>
            <w:rtl/>
          </w:rPr>
          <w:t xml:space="preserve">13. البذور وتهيئة المشترك (خطة — لم تُنفَّذ بعد)</w:t>
        </w:r>
      </w:hyperlink>
    </w:p>
    <w:p>
      <w:pPr>
        <w:bidi/>
        <w:spacing w:after="50" w:before="0"/>
        <w:ind w:left="0"/>
      </w:pPr>
      <w:hyperlink w:history="1" w:anchor="_sec39">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40">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41">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42">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770"/>
        <w:gridCol w:w="4094"/>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194</w:t>
            </w:r>
            <w:r>
              <w:rPr>
                <w:rFonts w:ascii="Arial" w:cs="Arial" w:eastAsia="Arial" w:hAnsi="Arial"/>
                <w:b w:val="false"/>
                <w:bCs w:val="false"/>
                <w:sz w:val="18"/>
                <w:szCs w:val="18"/>
                <w:rtl/>
              </w:rPr>
              <w:t xml:space="preserve"> في 20 مخططًا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3,261 مُعرَّفة في النماذج + الأعمدة الآلية = </w:t>
            </w:r>
            <w:r>
              <w:rPr>
                <w:rFonts w:ascii="Arial" w:cs="Arial" w:eastAsia="Arial" w:hAnsi="Arial"/>
                <w:b/>
                <w:bCs/>
                <w:sz w:val="18"/>
                <w:szCs w:val="18"/>
                <w:rtl/>
              </w:rPr>
              <w:t xml:space="preserve">3,787</w:t>
            </w:r>
            <w:r>
              <w:rPr>
                <w:rFonts w:ascii="Arial" w:cs="Arial" w:eastAsia="Arial" w:hAnsi="Arial"/>
                <w:b w:val="false"/>
                <w:bCs w:val="false"/>
                <w:sz w:val="18"/>
                <w:szCs w:val="18"/>
                <w:rtl/>
              </w:rPr>
              <w:t xml:space="preserve"> في DDL</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750</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485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+ 81 بسيطة نحو جداول عالمية/مختلطة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675 غير مجمّع (196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1,145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فهارس فريدة مصفّاة</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184 (183 بسياسة عامة +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الـ10 العالمية خارجها)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194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(73 مفتاحًا من الـ485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الهوية بالمشترك</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لا يكفي أن يكون المشترك موجودًا؛ يجب أن يكون المستخدم نشطًا وينتمي إليه.</w:t>
      </w:r>
    </w:p>
    <w:p>
      <w:pPr>
        <w:bidi/>
        <w:spacing w:after="60" w:before="0"/>
      </w:pPr>
    </w:p>
    <w:p>
      <w:pPr>
        <w:bidi/>
        <w:spacing w:after="110" w:before="0" w:line="312"/>
      </w:pPr>
      <w:r>
        <w:rPr>
          <w:rFonts w:ascii="Arial" w:cs="Arial" w:eastAsia="Arial" w:hAnsi="Arial"/>
          <w:b w:val="false"/>
          <w:bCs w:val="false"/>
          <w:sz w:val="21"/>
          <w:szCs w:val="21"/>
          <w:rtl/>
        </w:rPr>
        <w:t xml:space="preserve">الطبقات 1–3 داخل القاعدة. الطبقة 4 داخلها أيضًا، لكن </w:t>
      </w:r>
      <w:r>
        <w:rPr>
          <w:rFonts w:ascii="Arial" w:cs="Arial" w:eastAsia="Arial" w:hAnsi="Arial"/>
          <w:b/>
          <w:bCs/>
          <w:sz w:val="21"/>
          <w:szCs w:val="21"/>
          <w:rtl/>
        </w:rPr>
        <w:t xml:space="preserve">هوية المستخدم نفسها تبقى مصدوقة من التطبيق</w:t>
      </w:r>
      <w:r>
        <w:rPr>
          <w:rFonts w:ascii="Arial" w:cs="Arial" w:eastAsia="Arial" w:hAnsi="Arial"/>
          <w:b w:val="false"/>
          <w:bCs w:val="false"/>
          <w:sz w:val="21"/>
          <w:szCs w:val="21"/>
          <w:rtl/>
        </w:rPr>
        <w:t xml:space="preserve"> (انظر الحد المتبقي في §3.2).</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‎sec.usp_SetSessionContext(@TenantId, @UserId, @ClientIp, @CorrelationId)‎</w:t>
      </w:r>
      <w:r>
        <w:rPr>
          <w:rFonts w:ascii="Arial" w:cs="Arial" w:eastAsia="Arial" w:hAnsi="Arial"/>
          <w:b w:val="false"/>
          <w:bCs w:val="false"/>
          <w:sz w:val="21"/>
          <w:szCs w:val="21"/>
          <w:rtl/>
        </w:rPr>
        <w:t xml:space="preserve"> يُستدعى </w:t>
      </w:r>
      <w:r>
        <w:rPr>
          <w:rFonts w:ascii="Arial" w:cs="Arial" w:eastAsia="Arial" w:hAnsi="Arial"/>
          <w:b/>
          <w:bCs/>
          <w:sz w:val="21"/>
          <w:szCs w:val="21"/>
          <w:rtl/>
        </w:rPr>
        <w:t xml:space="preserve">عند فتح كل اتصال من المجمّع</w:t>
      </w:r>
      <w:r>
        <w:rPr>
          <w:rFonts w:ascii="Arial" w:cs="Arial" w:eastAsia="Arial" w:hAnsi="Arial"/>
          <w:b w:val="false"/>
          <w:bCs w:val="false"/>
          <w:sz w:val="21"/>
          <w:szCs w:val="21"/>
          <w:rtl/>
        </w:rPr>
        <w:t xml:space="preserve"> وقبل أي استعلام، ويتحقق بالترتيب:</w:t>
      </w:r>
    </w:p>
    <w:p>
      <w:pPr>
        <w:pStyle w:val="ListParagraph"/>
        <w:numPr>
          <w:ilvl w:val="1"/>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مطلوبان (خطأ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val="false"/>
          <w:bCs w:val="false"/>
          <w:sz w:val="21"/>
          <w:szCs w:val="21"/>
          <w:rtl/>
        </w:rPr>
        <w:t xml:space="preserve">المشترك موجود وحالته من </w:t>
      </w:r>
      <w:r>
        <w:rPr>
          <w:rFonts w:ascii="Courier New" w:cs="Courier New" w:eastAsia="Courier New" w:hAnsi="Courier New"/>
          <w:b w:val="false"/>
          <w:bCs w:val="false"/>
          <w:color w:val="1F2937"/>
          <w:sz w:val="18"/>
          <w:szCs w:val="18"/>
          <w:shd w:fill="F1F3F5" w:color="auto" w:val="clear"/>
          <w:rtl/>
        </w:rPr>
        <w:t xml:space="preserve">‎TRIAL/ACTIVE/SUSPENDED/ARCHIVED_READ_ONLY‎</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w:t>
      </w:r>
    </w:p>
    <w:p>
      <w:pPr>
        <w:pStyle w:val="ListParagraph"/>
        <w:numPr>
          <w:ilvl w:val="1"/>
          <w:numId w:val="4"/>
        </w:numPr>
        <w:bidi/>
        <w:spacing w:after="70" w:before="0" w:line="300"/>
      </w:pPr>
      <w:r>
        <w:rPr>
          <w:rFonts w:ascii="Arial" w:cs="Arial" w:eastAsia="Arial" w:hAnsi="Arial"/>
          <w:b/>
          <w:bCs/>
          <w:sz w:val="21"/>
          <w:szCs w:val="21"/>
          <w:rtl/>
        </w:rPr>
        <w:t xml:space="preserve">المستخدم بحالة </w:t>
      </w:r>
      <w:r>
        <w:rPr>
          <w:rFonts w:ascii="Courier New" w:cs="Courier New" w:eastAsia="Courier New" w:hAnsi="Courier New"/>
          <w:b/>
          <w:bCs/>
          <w:color w:val="1F2937"/>
          <w:sz w:val="18"/>
          <w:szCs w:val="18"/>
          <w:shd w:fill="F1F3F5" w:color="auto" w:val="clear"/>
          <w:rtl/>
        </w:rPr>
        <w:t xml:space="preserve">‎ACTIVE‎</w:t>
      </w:r>
      <w:r>
        <w:rPr>
          <w:rFonts w:ascii="Arial" w:cs="Arial" w:eastAsia="Arial" w:hAnsi="Arial"/>
          <w:b/>
          <w:bCs/>
          <w:sz w:val="21"/>
          <w:szCs w:val="21"/>
          <w:rtl/>
        </w:rPr>
        <w:t xml:space="preserve"> ومنتمٍ إلى المشترك نفسه</w:t>
      </w:r>
      <w:r>
        <w:rPr>
          <w:rFonts w:ascii="Arial" w:cs="Arial" w:eastAsia="Arial" w:hAnsi="Arial"/>
          <w:b w:val="false"/>
          <w:bCs w:val="false"/>
          <w:sz w:val="21"/>
          <w:szCs w:val="21"/>
          <w:rtl/>
        </w:rPr>
        <w:t xml:space="preserve"> (خطأ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برسالة عامة لا تكشف وجود المستخدم). ثم 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فلا يستطيع استعلام لاحق تغيير المشترك.</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‎WITH EXECUTE AS‎</w:t>
      </w:r>
      <w:r>
        <w:rPr>
          <w:rFonts w:ascii="Arial" w:cs="Arial" w:eastAsia="Arial" w:hAnsi="Arial"/>
          <w:b w:val="false"/>
          <w:bCs w:val="false"/>
          <w:sz w:val="21"/>
          <w:szCs w:val="21"/>
          <w:rtl/>
        </w:rPr>
        <w:t xml:space="preserve">): هذا الدور داخلي بلا تسجيل دخول، يملك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 ويتجاوز RLS </w:t>
      </w:r>
      <w:r>
        <w:rPr>
          <w:rFonts w:ascii="Arial" w:cs="Arial" w:eastAsia="Arial" w:hAnsi="Arial"/>
          <w:b/>
          <w:bCs/>
          <w:sz w:val="21"/>
          <w:szCs w:val="21"/>
          <w:rtl/>
        </w:rPr>
        <w:t xml:space="preserve">داخل هذا الإجراء فقط</w:t>
      </w:r>
      <w:r>
        <w:rPr>
          <w:rFonts w:ascii="Arial" w:cs="Arial" w:eastAsia="Arial" w:hAnsi="Arial"/>
          <w:b w:val="false"/>
          <w:bCs w:val="false"/>
          <w:sz w:val="21"/>
          <w:szCs w:val="21"/>
          <w:rtl/>
        </w:rPr>
        <w:t xml:space="preserve"> (عضوية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في دوال السياسات). لولاه لما رأى الإجراء صف المستخدم قبل ضبط السياق.</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يُرفع خطأ ويجب على التطبيق إعادة الاتصال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ولا يستعمله. هذا شرط على التطبيق لا يفرضه المحرك؛ يُختبر في S1.</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المهام الخلفية وتكامل المشترك لا تملك مستخدمًا بشريًا. تُنشأ لكل مشترك عند التهيئة مستخدم خدمة بعلم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ويُستعمل في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لمهامه.</w:t>
      </w:r>
    </w:p>
    <w:p>
      <w:pPr>
        <w:pStyle w:val="ListParagraph"/>
        <w:numPr>
          <w:ilvl w:val="0"/>
          <w:numId w:val="3"/>
        </w:numPr>
        <w:bidi/>
        <w:spacing w:after="70" w:before="0" w:line="300"/>
      </w:pPr>
      <w:r>
        <w:rPr>
          <w:rFonts w:ascii="Arial" w:cs="Arial" w:eastAsia="Arial" w:hAnsi="Arial"/>
          <w:b/>
          <w:bCs/>
          <w:sz w:val="21"/>
          <w:szCs w:val="21"/>
          <w:rtl/>
        </w:rPr>
        <w:t xml:space="preserve">الحد المتبقي (مفتوح، O-11):</w:t>
      </w:r>
      <w:r>
        <w:rPr>
          <w:rFonts w:ascii="Arial" w:cs="Arial" w:eastAsia="Arial" w:hAnsi="Arial"/>
          <w:b w:val="false"/>
          <w:bCs w:val="false"/>
          <w:sz w:val="21"/>
          <w:szCs w:val="21"/>
          <w:rtl/>
        </w:rPr>
        <w:t xml:space="preserve"> الإجراء يتحقق من </w:t>
      </w:r>
      <w:r>
        <w:rPr>
          <w:rFonts w:ascii="Arial" w:cs="Arial" w:eastAsia="Arial" w:hAnsi="Arial"/>
          <w:b/>
          <w:bCs/>
          <w:sz w:val="21"/>
          <w:szCs w:val="21"/>
          <w:rtl/>
        </w:rPr>
        <w:t xml:space="preserve">الترابط</w:t>
      </w:r>
      <w:r>
        <w:rPr>
          <w:rFonts w:ascii="Arial" w:cs="Arial" w:eastAsia="Arial" w:hAnsi="Arial"/>
          <w:b w:val="false"/>
          <w:bCs w:val="false"/>
          <w:sz w:val="21"/>
          <w:szCs w:val="21"/>
          <w:rtl/>
        </w:rPr>
        <w:t xml:space="preserve"> بين المشترك والمستخدم، لكنه </w:t>
      </w:r>
      <w:r>
        <w:rPr>
          <w:rFonts w:ascii="Arial" w:cs="Arial" w:eastAsia="Arial" w:hAnsi="Arial"/>
          <w:b/>
          <w:bCs/>
          <w:sz w:val="21"/>
          <w:szCs w:val="21"/>
          <w:rtl/>
        </w:rPr>
        <w:t xml:space="preserve">لا يوثّق أن المستخدم هو من يدّعي أنه هو</w:t>
      </w:r>
      <w:r>
        <w:rPr>
          <w:rFonts w:ascii="Arial" w:cs="Arial" w:eastAsia="Arial" w:hAnsi="Arial"/>
          <w:b w:val="false"/>
          <w:bCs w:val="false"/>
          <w:sz w:val="21"/>
          <w:szCs w:val="21"/>
          <w:rtl/>
        </w:rPr>
        <w:t xml:space="preserve">. أي تطبيق مخترق يملك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اختيار أي مستخدم نشط من أي مشترك. لذلك يبقى عزل الهوية مسؤولية التطبيق في المصادقة، ويُعالج أحد خيارين قبل الإنتاج: (أ) دور تطبيق مستقل لكل مشترك (</w:t>
      </w:r>
      <w:r>
        <w:rPr>
          <w:rFonts w:ascii="Courier New" w:cs="Courier New" w:eastAsia="Courier New" w:hAnsi="Courier New"/>
          <w:b w:val="false"/>
          <w:bCs w:val="false"/>
          <w:color w:val="1F2937"/>
          <w:sz w:val="18"/>
          <w:szCs w:val="18"/>
          <w:shd w:fill="F1F3F5" w:color="auto" w:val="clear"/>
          <w:rtl/>
        </w:rPr>
        <w:t xml:space="preserve">‎sp_setapprole‎</w:t>
      </w:r>
      <w:r>
        <w:rPr>
          <w:rFonts w:ascii="Arial" w:cs="Arial" w:eastAsia="Arial" w:hAnsi="Arial"/>
          <w:b w:val="false"/>
          <w:bCs w:val="false"/>
          <w:sz w:val="21"/>
          <w:szCs w:val="21"/>
          <w:rtl/>
        </w:rPr>
        <w:t xml:space="preserve">) بكلمة مرور مشتقة من KMS، أو (ب) تمرير رمز موقَّع من طبقة الهوية يتحقق منه الإجراء. يُختار أحدهما في S1.</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1"/>
        <w:gridCol w:w="1287"/>
        <w:gridCol w:w="3287"/>
        <w:gridCol w:w="1287"/>
        <w:gridCol w:w="1144"/>
        <w:gridCol w:w="1858"/>
      </w:tblGrid>
      <w:tr>
        <w:trPr>
          <w:cantSplit/>
          <w:tblHeader/>
        </w:trPr>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1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179</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w:t>
            </w:r>
          </w:p>
        </w:tc>
        <w:tc>
          <w:tcPr>
            <w:tcW w:type="dxa" w:w="1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w:t>
            </w:r>
          </w:p>
        </w:tc>
        <w:tc>
          <w:tcPr>
            <w:tcW w:type="dxa" w:w="1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1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Arial" w:cs="Arial" w:eastAsia="Arial" w:hAnsi="Arial"/>
          <w:b w:val="false"/>
          <w:bCs w:val="false"/>
          <w:sz w:val="21"/>
          <w:szCs w:val="21"/>
          <w:rtl/>
        </w:rPr>
        <w:t xml:space="preserve">جدول مختلط ودلالته مختلفة عن الكتالوجات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الكتالوجات العالمية والمختلطة وجداول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(تُحدَّد في S0 — O-12).</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تفعيل الإجراء الذي يتحقق من المنحة قبل أي وصول هو شرط S0</w:t>
      </w:r>
      <w:r>
        <w:rPr>
          <w:rFonts w:ascii="Arial" w:cs="Arial" w:eastAsia="Arial" w:hAnsi="Arial"/>
          <w:b w:val="false"/>
          <w:bCs w:val="false"/>
          <w:sz w:val="21"/>
          <w:szCs w:val="21"/>
          <w:rtl/>
        </w:rPr>
        <w:t xml:space="preserve">، لأن القاعدة وحدها لا تفرضه قبل إنشاء تلك الإجراءات.</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وسجل التدقيق.</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w:t>
      </w:r>
    </w:p>
    <w:p>
      <w:pPr>
        <w:pStyle w:val="Heading1"/>
        <w:bidi/>
      </w:pPr>
      <w:bookmarkStart w:name="_sec11" w:id="11"/>
      <w:r>
        <w:rPr>
          <w:rFonts w:ascii="Arial" w:cs="Arial" w:eastAsia="Arial" w:hAnsi="Arial"/>
          <w:b/>
          <w:bCs/>
          <w:color w:val="1F3A5F"/>
          <w:sz w:val="32"/>
          <w:szCs w:val="32"/>
          <w:rtl/>
        </w:rPr>
        <w:t xml:space="preserve">4. الاتفاقيات (Conventions)</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التاريخ والمراجعات ومصدر القيمة</w:t>
      </w:r>
      <w:bookmarkEnd w:id="12"/>
    </w:p>
    <w:p>
      <w:pPr>
        <w:pStyle w:val="Heading2"/>
        <w:bidi/>
      </w:pPr>
      <w:bookmarkStart w:name="_sec13" w:id="13"/>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3"/>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4" w:id="14"/>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4"/>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5" w:id="15"/>
      <w:r>
        <w:rPr>
          <w:rFonts w:ascii="Arial" w:cs="Arial" w:eastAsia="Arial" w:hAnsi="Arial"/>
          <w:b/>
          <w:bCs/>
          <w:color w:val="2B5C8A"/>
          <w:sz w:val="26"/>
          <w:szCs w:val="26"/>
          <w:rtl/>
        </w:rPr>
        <w:t xml:space="preserve">5.3 التدقيق وحدوده</w:t>
      </w:r>
      <w:bookmarkEnd w:id="15"/>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بسبب إلزامي.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6" w:id="16"/>
      <w:r>
        <w:rPr>
          <w:rFonts w:ascii="Arial" w:cs="Arial" w:eastAsia="Arial" w:hAnsi="Arial"/>
          <w:b/>
          <w:bCs/>
          <w:color w:val="1F3A5F"/>
          <w:sz w:val="32"/>
          <w:szCs w:val="32"/>
          <w:rtl/>
        </w:rPr>
        <w:t xml:space="preserve">6. حماية البيانات الحساسة</w:t>
      </w:r>
      <w:bookmarkEnd w:id="16"/>
    </w:p>
    <w:p>
      <w:pPr>
        <w:pStyle w:val="Heading2"/>
        <w:bidi/>
      </w:pPr>
      <w:bookmarkStart w:name="_sec17" w:id="17"/>
      <w:r>
        <w:rPr>
          <w:rFonts w:ascii="Arial" w:cs="Arial" w:eastAsia="Arial" w:hAnsi="Arial"/>
          <w:b/>
          <w:bCs/>
          <w:color w:val="2B5C8A"/>
          <w:sz w:val="26"/>
          <w:szCs w:val="26"/>
          <w:rtl/>
        </w:rPr>
        <w:t xml:space="preserve">6.1 ما يُخزَّن</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9"/>
        <w:gridCol w:w="2867"/>
        <w:gridCol w:w="1606"/>
        <w:gridCol w:w="2982"/>
      </w:tblGrid>
      <w:tr>
        <w:trPr>
          <w:cantSplit/>
          <w:tblHeader/>
        </w:trPr>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w:t>
            </w:r>
          </w:p>
        </w:tc>
        <w:tc>
          <w:tcPr>
            <w:tcW w:type="dxa" w:w="2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‎MfaKeyId‎</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8" w:id="18"/>
      <w:r>
        <w:rPr>
          <w:rFonts w:ascii="Arial" w:cs="Arial" w:eastAsia="Arial" w:hAnsi="Arial"/>
          <w:b/>
          <w:bCs/>
          <w:color w:val="2B5C8A"/>
          <w:sz w:val="26"/>
          <w:szCs w:val="26"/>
          <w:rtl/>
        </w:rPr>
        <w:t xml:space="preserve">6.2 شكل الغلاف المشفّر (إلزامي لطبقة التطبيق)</w:t>
      </w:r>
      <w:bookmarkEnd w:id="18"/>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19" w:id="19"/>
      <w:r>
        <w:rPr>
          <w:rFonts w:ascii="Arial" w:cs="Arial" w:eastAsia="Arial" w:hAnsi="Arial"/>
          <w:b/>
          <w:bCs/>
          <w:color w:val="2B5C8A"/>
          <w:sz w:val="26"/>
          <w:szCs w:val="26"/>
          <w:rtl/>
        </w:rPr>
        <w:t xml:space="preserve">6.3 التدوير وإعادة التشفير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5"/>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5"/>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0" w:id="20"/>
      <w:r>
        <w:rPr>
          <w:rFonts w:ascii="Arial" w:cs="Arial" w:eastAsia="Arial" w:hAnsi="Arial"/>
          <w:b/>
          <w:bCs/>
          <w:color w:val="2B5C8A"/>
          <w:sz w:val="26"/>
          <w:szCs w:val="26"/>
          <w:rtl/>
        </w:rPr>
        <w:t xml:space="preserve">6.4 مفاتيح وأغلفة أخرى</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1" w:id="21"/>
      <w:r>
        <w:rPr>
          <w:rFonts w:ascii="Arial" w:cs="Arial" w:eastAsia="Arial" w:hAnsi="Arial"/>
          <w:b/>
          <w:bCs/>
          <w:color w:val="1F3A5F"/>
          <w:sz w:val="32"/>
          <w:szCs w:val="32"/>
          <w:rtl/>
        </w:rPr>
        <w:t xml:space="preserve">7. استراتيجية سلامة البيانات</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8"/>
        <w:gridCol w:w="3764"/>
        <w:gridCol w:w="4272"/>
      </w:tblGrid>
      <w:tr>
        <w:trPr>
          <w:cantSplit/>
          <w:tblHeader/>
        </w:trPr>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4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(750)، والمركّب يمنع العبور بين المشتركين والتجميعات</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4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4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7.1 الحجز الذري للحدود (شرط في طبقة التطبيق)</w:t>
      </w:r>
      <w:bookmarkEnd w:id="22"/>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3" w:id="23"/>
      <w:r>
        <w:rPr>
          <w:rFonts w:ascii="Arial" w:cs="Arial" w:eastAsia="Arial" w:hAnsi="Arial"/>
          <w:b/>
          <w:bCs/>
          <w:color w:val="1F3A5F"/>
          <w:sz w:val="32"/>
          <w:szCs w:val="32"/>
          <w:rtl/>
        </w:rPr>
        <w:t xml:space="preserve">8. الفهرسة</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4" w:id="24"/>
      <w:r>
        <w:rPr>
          <w:rFonts w:ascii="Arial" w:cs="Arial" w:eastAsia="Arial" w:hAnsi="Arial"/>
          <w:b/>
          <w:bCs/>
          <w:color w:val="1F3A5F"/>
          <w:sz w:val="32"/>
          <w:szCs w:val="32"/>
          <w:rtl/>
        </w:rPr>
        <w:t xml:space="preserve">9. الأدوار والصلاحيات (على مستوى القاعدة)</w:t>
      </w:r>
      <w:bookmarkEnd w:id="24"/>
    </w:p>
    <w:p>
      <w:pPr>
        <w:pStyle w:val="Heading2"/>
        <w:bidi/>
      </w:pPr>
      <w:bookmarkStart w:name="_sec25" w:id="25"/>
      <w:r>
        <w:rPr>
          <w:rFonts w:ascii="Arial" w:cs="Arial" w:eastAsia="Arial" w:hAnsi="Arial"/>
          <w:b/>
          <w:bCs/>
          <w:color w:val="2B5C8A"/>
          <w:sz w:val="26"/>
          <w:szCs w:val="26"/>
          <w:rtl/>
        </w:rPr>
        <w:t xml:space="preserve">9.1 الأدوار</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1"/>
        <w:gridCol w:w="2466"/>
        <w:gridCol w:w="5137"/>
      </w:tblGrid>
      <w:tr>
        <w:trPr>
          <w:cantSplit/>
          <w:tblHeader/>
        </w:trPr>
        <w:tc>
          <w:tcPr>
            <w:tcW w:type="dxa" w:w="2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فقط؛ يُنفَّذ به </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w:t>
            </w:r>
          </w:p>
        </w:tc>
      </w:tr>
      <w:tr>
        <w:trPr>
          <w:cantSplit/>
        </w:trPr>
        <w:tc>
          <w:tcPr>
            <w:tcW w:type="dxa" w:w="2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2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9.2 من أين تأتي المنح</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28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(206 منحة)</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وتنفيذه بـ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ومنحه لـ</w:t>
            </w:r>
            <w:r>
              <w:rPr>
                <w:rFonts w:ascii="Courier New" w:cs="Courier New" w:eastAsia="Courier New" w:hAnsi="Courier New"/>
                <w:b w:val="false"/>
                <w:bCs w:val="false"/>
                <w:color w:val="1F2937"/>
                <w:sz w:val="16"/>
                <w:szCs w:val="16"/>
                <w:shd w:fill="F1F3F5" w:color="auto" w:val="clear"/>
                <w:rtl/>
              </w:rPr>
              <w:t xml:space="preserve">‎tp_app‎</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9.3 التحقق الثابت من الصلاحيات</w:t>
      </w:r>
      <w:bookmarkEnd w:id="27"/>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جدولين فقط.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8" w:id="28"/>
      <w:r>
        <w:rPr>
          <w:rFonts w:ascii="Arial" w:cs="Arial" w:eastAsia="Arial" w:hAnsi="Arial"/>
          <w:b/>
          <w:bCs/>
          <w:color w:val="2B5C8A"/>
          <w:sz w:val="26"/>
          <w:szCs w:val="26"/>
          <w:rtl/>
        </w:rPr>
        <w:t xml:space="preserve">9.4 قواعد عامة</w:t>
      </w:r>
      <w:bookmarkEnd w:id="28"/>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29" w:id="29"/>
      <w:r>
        <w:rPr>
          <w:rFonts w:ascii="Arial" w:cs="Arial" w:eastAsia="Arial" w:hAnsi="Arial"/>
          <w:b/>
          <w:bCs/>
          <w:color w:val="1F3A5F"/>
          <w:sz w:val="32"/>
          <w:szCs w:val="32"/>
          <w:rtl/>
        </w:rPr>
        <w:t xml:space="preserve">10. خريطة المخططات والجداول</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4"/>
        <w:gridCol w:w="6976"/>
        <w:gridCol w:w="1444"/>
      </w:tblGrid>
      <w:tr>
        <w:trPr>
          <w:cantSplit/>
          <w:tblHeader/>
        </w:trPr>
        <w:tc>
          <w:tcPr>
            <w:tcW w:type="dxa" w:w="1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0" w:id="30"/>
      <w:r>
        <w:rPr>
          <w:rFonts w:ascii="Arial" w:cs="Arial" w:eastAsia="Arial" w:hAnsi="Arial"/>
          <w:b/>
          <w:bCs/>
          <w:color w:val="2B5C8A"/>
          <w:sz w:val="26"/>
          <w:szCs w:val="26"/>
          <w:rtl/>
        </w:rPr>
        <w:t xml:space="preserve">10.1 تغطية المتطلبات</w:t>
      </w:r>
      <w:bookmarkEnd w:id="30"/>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1"/>
        <w:bidi/>
      </w:pPr>
      <w:bookmarkStart w:name="_sec31" w:id="31"/>
      <w:r>
        <w:rPr>
          <w:rFonts w:ascii="Arial" w:cs="Arial" w:eastAsia="Arial" w:hAnsi="Arial"/>
          <w:b/>
          <w:bCs/>
          <w:color w:val="1F3A5F"/>
          <w:sz w:val="32"/>
          <w:szCs w:val="32"/>
          <w:rtl/>
        </w:rPr>
        <w:t xml:space="preserve">11. أنماط التصميم للمجالات الرئيسية</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7"/>
        <w:gridCol w:w="8037"/>
      </w:tblGrid>
      <w:tr>
        <w:trPr>
          <w:cantSplit/>
          <w:tblHeader/>
        </w:trPr>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32" w:id="32"/>
      <w:r>
        <w:rPr>
          <w:rFonts w:ascii="Arial" w:cs="Arial" w:eastAsia="Arial" w:hAnsi="Arial"/>
          <w:b/>
          <w:bCs/>
          <w:color w:val="2B5C8A"/>
          <w:sz w:val="26"/>
          <w:szCs w:val="26"/>
          <w:rtl/>
        </w:rPr>
        <w:t xml:space="preserve">11.1 إقفال دورة العمل بيد إدارة الخزينة (C-7)</w:t>
      </w:r>
      <w:bookmarkEnd w:id="32"/>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pStyle w:val="Heading1"/>
        <w:bidi/>
      </w:pPr>
      <w:bookmarkStart w:name="_sec33" w:id="33"/>
      <w:r>
        <w:rPr>
          <w:rFonts w:ascii="Arial" w:cs="Arial" w:eastAsia="Arial" w:hAnsi="Arial"/>
          <w:b/>
          <w:bCs/>
          <w:color w:val="1F3A5F"/>
          <w:sz w:val="32"/>
          <w:szCs w:val="32"/>
          <w:rtl/>
        </w:rPr>
        <w:t xml:space="preserve">12. النشر وإدارة التغيير</w:t>
      </w:r>
      <w:bookmarkEnd w:id="33"/>
    </w:p>
    <w:p>
      <w:pPr>
        <w:pStyle w:val="Heading2"/>
        <w:bidi/>
      </w:pPr>
      <w:bookmarkStart w:name="_sec34" w:id="34"/>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34"/>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&lt;server&gt; -E -I -f 65001 -i db\deploy.sql -v DbName=BankFas</w:t>
      </w:r>
    </w:p>
    <w:p>
      <w:pPr>
        <w:pStyle w:val="ListParagraph"/>
        <w:numPr>
          <w:ilvl w:val="0"/>
          <w:numId w:val="6"/>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w:t>
      </w:r>
    </w:p>
    <w:p>
      <w:pPr>
        <w:pStyle w:val="ListParagraph"/>
        <w:numPr>
          <w:ilvl w:val="0"/>
          <w:numId w:val="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(الإجراء بـ</w:t>
      </w:r>
      <w:r>
        <w:rPr>
          <w:rFonts w:ascii="Courier New" w:cs="Courier New" w:eastAsia="Courier New" w:hAnsi="Courier New"/>
          <w:b w:val="false"/>
          <w:bCs w:val="false"/>
          <w:color w:val="1F2937"/>
          <w:sz w:val="18"/>
          <w:szCs w:val="18"/>
          <w:shd w:fill="F1F3F5" w:color="auto" w:val="clear"/>
          <w:rtl/>
        </w:rPr>
        <w:t xml:space="preserve">‎EXECUTE AS tp_auth‎</w:t>
      </w:r>
      <w:r>
        <w:rPr>
          <w:rFonts w:ascii="Arial" w:cs="Arial" w:eastAsia="Arial" w:hAnsi="Arial"/>
          <w:b w:val="false"/>
          <w:bCs w:val="false"/>
          <w:sz w:val="21"/>
          <w:szCs w:val="21"/>
          <w:rtl/>
        </w:rPr>
        <w:t xml:space="preserve">)</w:t>
      </w:r>
    </w:p>
    <w:p>
      <w:pPr>
        <w:pStyle w:val="ListParagraph"/>
        <w:numPr>
          <w:ilvl w:val="0"/>
          <w:numId w:val="6"/>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bidi/>
        <w:spacing w:after="60" w:before="0"/>
      </w:pPr>
    </w:p>
    <w:p>
      <w:pPr>
        <w:bidi/>
        <w:spacing w:after="110" w:before="0" w:line="312"/>
      </w:pPr>
      <w:r>
        <w:rPr>
          <w:rFonts w:ascii="Arial" w:cs="Arial" w:eastAsia="Arial" w:hAnsi="Arial"/>
          <w:b/>
          <w:bCs/>
          <w:sz w:val="21"/>
          <w:szCs w:val="21"/>
          <w:rtl/>
        </w:rPr>
        <w:t xml:space="preserve">بعد النشر:</w:t>
      </w:r>
      <w:r>
        <w:rPr>
          <w:rFonts w:ascii="Arial" w:cs="Arial" w:eastAsia="Arial" w:hAnsi="Arial"/>
          <w:b w:val="false"/>
          <w:bCs w:val="false"/>
          <w:sz w:val="21"/>
          <w:szCs w:val="21"/>
          <w:rtl/>
        </w:rPr>
        <w:t xml:space="preserve"> يُشغَّل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على الملفات المنشورة (لا على القاعدة)،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35" w:id="35"/>
      <w:r>
        <w:rPr>
          <w:rFonts w:ascii="Arial" w:cs="Arial" w:eastAsia="Arial" w:hAnsi="Arial"/>
          <w:b/>
          <w:bCs/>
          <w:color w:val="2B5C8A"/>
          <w:sz w:val="26"/>
          <w:szCs w:val="26"/>
          <w:rtl/>
        </w:rPr>
        <w:t xml:space="preserve">12.2 تغيير النموذج</w:t>
      </w:r>
      <w:bookmarkEnd w:id="35"/>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36" w:id="36"/>
      <w:r>
        <w:rPr>
          <w:rFonts w:ascii="Arial" w:cs="Arial" w:eastAsia="Arial" w:hAnsi="Arial"/>
          <w:b/>
          <w:bCs/>
          <w:color w:val="2B5C8A"/>
          <w:sz w:val="26"/>
          <w:szCs w:val="26"/>
          <w:rtl/>
        </w:rPr>
        <w:t xml:space="preserve">12.3 النسخ الاحتياطي والاستعادة (توصيات للتشغيل </w:t>
      </w:r>
      <w:r>
        <w:rPr>
          <w:rFonts w:ascii="Segoe UI Emoji" w:cs="Segoe UI Emoji" w:eastAsia="Segoe UI Emoji" w:hAnsi="Segoe UI Emoji"/>
          <w:sz w:val="26"/>
          <w:szCs w:val="26"/>
          <w:rtl/>
        </w:rPr>
        <w:t xml:space="preserve">🟡</w:t>
      </w:r>
      <w:r>
        <w:rPr>
          <w:rFonts w:ascii="Arial" w:cs="Arial" w:eastAsia="Arial" w:hAnsi="Arial"/>
          <w:b/>
          <w:bCs/>
          <w:color w:val="2B5C8A"/>
          <w:sz w:val="26"/>
          <w:szCs w:val="26"/>
          <w:rtl/>
        </w:rPr>
        <w:t xml:space="preserve">)</w:t>
      </w:r>
      <w:bookmarkEnd w:id="36"/>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37" w:id="37"/>
      <w:r>
        <w:rPr>
          <w:rFonts w:ascii="Arial" w:cs="Arial" w:eastAsia="Arial" w:hAnsi="Arial"/>
          <w:b/>
          <w:bCs/>
          <w:color w:val="2B5C8A"/>
          <w:sz w:val="26"/>
          <w:szCs w:val="26"/>
          <w:rtl/>
        </w:rPr>
        <w:t xml:space="preserve">12.4 الأداء والحمل</w:t>
      </w:r>
      <w:bookmarkEnd w:id="37"/>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38" w:id="38"/>
      <w:r>
        <w:rPr>
          <w:rFonts w:ascii="Arial" w:cs="Arial" w:eastAsia="Arial" w:hAnsi="Arial"/>
          <w:b/>
          <w:bCs/>
          <w:color w:val="1F3A5F"/>
          <w:sz w:val="32"/>
          <w:szCs w:val="32"/>
          <w:rtl/>
        </w:rPr>
        <w:t xml:space="preserve">13. البذور وتهيئة المشترك (خطة — لم تُنفَّذ بعد)</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6"/>
        <w:gridCol w:w="6655"/>
        <w:gridCol w:w="2073"/>
      </w:tblGrid>
      <w:tr>
        <w:trPr>
          <w:cantSplit/>
          <w:tblHeader/>
        </w:trPr>
        <w:tc>
          <w:tcPr>
            <w:tcW w:type="dxa" w:w="11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6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تعريفات حقول الاعتماد</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بذور عالمي عند النشر بمفتاح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يسجل التنفيذ.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p>
        </w:tc>
      </w:tr>
      <w:tr>
        <w:trPr>
          <w:cantSplit/>
        </w:trPr>
        <w:tc>
          <w:tcPr>
            <w:tcW w:type="dxa" w:w="11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6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والكتالوجات الافتراضية، والأدوار القياسية وربطها بالصلاحيات، وقوالب دورات العمل، وملفات KYC المسبقة، وقواعد الإشعارات</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في </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ينفّذه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بموافقة مشغّل؛ لأن المشترك لم يُنشأ بعد لا يمكن تعيين سياقه بالطريقة المعتادة (O-12)</w:t>
            </w:r>
          </w:p>
        </w:tc>
      </w:tr>
      <w:tr>
        <w:trPr>
          <w:cantSplit/>
        </w:trPr>
        <w:tc>
          <w:tcPr>
            <w:tcW w:type="dxa" w:w="11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6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39" w:id="39"/>
      <w:r>
        <w:rPr>
          <w:rFonts w:ascii="Arial" w:cs="Arial" w:eastAsia="Arial" w:hAnsi="Arial"/>
          <w:b/>
          <w:bCs/>
          <w:color w:val="1F3A5F"/>
          <w:sz w:val="32"/>
          <w:szCs w:val="32"/>
          <w:rtl/>
        </w:rPr>
        <w:t xml:space="preserve">14. أدلة التحقق وحدودها (بصراحة)</w:t>
      </w:r>
      <w:bookmarkEnd w:id="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1"/>
        <w:gridCol w:w="2804"/>
        <w:gridCol w:w="3289"/>
      </w:tblGrid>
      <w:tr>
        <w:trPr>
          <w:cantSplit/>
          <w:tblHeader/>
        </w:trPr>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3,261 عمودًا؛ لا مراجع معلّقة؛ لا مخالفة لقواعد النطاق</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750 مفتاحًا أجنبيًا / 691 قيد فريد أو أساسي</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206 منحة في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و36 منحة حذف و7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28 عمودًا مقيّدًا، القواعد R1–R10</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يحدث</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يتوفر المحرك في بيئة العمل. </w:t>
            </w:r>
            <w:r>
              <w:rPr>
                <w:rFonts w:ascii="Arial" w:cs="Arial" w:eastAsia="Arial" w:hAnsi="Arial"/>
                <w:b/>
                <w:bCs/>
                <w:sz w:val="18"/>
                <w:szCs w:val="18"/>
                <w:rtl/>
              </w:rPr>
              <w:t xml:space="preserve">أول خطوة قبل أي اعتماد.</w:t>
            </w:r>
            <w:r>
              <w:rPr>
                <w:rFonts w:ascii="Arial" w:cs="Arial" w:eastAsia="Arial" w:hAnsi="Arial"/>
                <w:b w:val="false"/>
                <w:bCs w:val="false"/>
                <w:sz w:val="18"/>
                <w:szCs w:val="18"/>
                <w:rtl/>
              </w:rPr>
              <w:t xml:space="preserve"> متوقع: أخطاء صيغة في </w:t>
            </w:r>
            <w:r>
              <w:rPr>
                <w:rFonts w:ascii="Courier New" w:cs="Courier New" w:eastAsia="Courier New" w:hAnsi="Courier New"/>
                <w:b w:val="false"/>
                <w:bCs w:val="false"/>
                <w:color w:val="1F2937"/>
                <w:sz w:val="16"/>
                <w:szCs w:val="16"/>
                <w:shd w:fill="F1F3F5" w:color="auto" w:val="clear"/>
                <w:rtl/>
              </w:rPr>
              <w:t xml:space="preserve">‎CREATE SECURITY POLICY‎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وترتيب النشر</w:t>
            </w:r>
          </w:p>
        </w:tc>
      </w:tr>
      <w:tr>
        <w:trPr>
          <w:cantSplit/>
        </w:trPr>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تُكتب</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مطلوبة في S0–S2: مشتركان ومستخدمان ومحاولات عبور، وربط مستخدم مشترك A بسياق مشترك B يجب أن يُرفض، ومحاولة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w:t>
            </w:r>
            <w:r>
              <w:rPr>
                <w:rFonts w:ascii="Courier New" w:cs="Courier New" w:eastAsia="Courier New" w:hAnsi="Courier New"/>
                <w:b w:val="false"/>
                <w:bCs w:val="false"/>
                <w:color w:val="1F2937"/>
                <w:sz w:val="16"/>
                <w:szCs w:val="16"/>
                <w:shd w:fill="F1F3F5" w:color="auto" w:val="clear"/>
                <w:rtl/>
              </w:rPr>
              <w:t xml:space="preserve">‎ref.Currency‎</w:t>
            </w:r>
            <w:r>
              <w:rPr>
                <w:rFonts w:ascii="Arial" w:cs="Arial" w:eastAsia="Arial" w:hAnsi="Arial"/>
                <w:b w:val="false"/>
                <w:bCs w:val="false"/>
                <w:sz w:val="18"/>
                <w:szCs w:val="18"/>
                <w:rtl/>
              </w:rPr>
              <w:t xml:space="preserve"> يجب أن تُرفض</w:t>
            </w:r>
          </w:p>
        </w:tc>
      </w:tr>
    </w:tbl>
    <w:p>
      <w:pPr>
        <w:bidi/>
        <w:spacing w:after="120" w:before="0"/>
      </w:pPr>
    </w:p>
    <w:p>
      <w:pPr>
        <w:pStyle w:val="Heading1"/>
        <w:bidi/>
      </w:pPr>
      <w:bookmarkStart w:name="_sec40" w:id="40"/>
      <w:r>
        <w:rPr>
          <w:rFonts w:ascii="Arial" w:cs="Arial" w:eastAsia="Arial" w:hAnsi="Arial"/>
          <w:b/>
          <w:bCs/>
          <w:color w:val="1F3A5F"/>
          <w:sz w:val="32"/>
          <w:szCs w:val="32"/>
          <w:rtl/>
        </w:rPr>
        <w:t xml:space="preserve">15. القرارات المتخذة (تُعتمد ما لم تعترض)</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4316"/>
        <w:gridCol w:w="4548"/>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5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يتحقق من المستخدم النشط المنتمي للمشترك، ويعمل بصفة </w:t>
            </w:r>
            <w:r>
              <w:rPr>
                <w:rFonts w:ascii="Courier New" w:cs="Courier New" w:eastAsia="Courier New" w:hAnsi="Courier New"/>
                <w:b w:val="false"/>
                <w:bCs w:val="false"/>
                <w:color w:val="1F2937"/>
                <w:sz w:val="16"/>
                <w:szCs w:val="16"/>
                <w:shd w:fill="F1F3F5" w:color="auto" w:val="clear"/>
                <w:rtl/>
              </w:rPr>
              <w:t xml:space="preserve">‎tp_auth‎</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5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5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bl>
    <w:p>
      <w:pPr>
        <w:bidi/>
        <w:spacing w:after="120" w:before="0"/>
      </w:pPr>
    </w:p>
    <w:p>
      <w:pPr>
        <w:pStyle w:val="Heading1"/>
        <w:bidi/>
      </w:pPr>
      <w:bookmarkStart w:name="_sec41" w:id="41"/>
      <w:r>
        <w:rPr>
          <w:rFonts w:ascii="Arial" w:cs="Arial" w:eastAsia="Arial" w:hAnsi="Arial"/>
          <w:b/>
          <w:bCs/>
          <w:color w:val="1F3A5F"/>
          <w:sz w:val="32"/>
          <w:szCs w:val="32"/>
          <w:rtl/>
        </w:rPr>
        <w:t xml:space="preserve">16. حدود معروفة ونقاط مفتوحة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3345"/>
        <w:gridCol w:w="1644"/>
        <w:gridCol w:w="3875"/>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لم تُنفَّذ السكربتات على SQL Server</w:t>
            </w:r>
            <w:r>
              <w:rPr>
                <w:rFonts w:ascii="Arial" w:cs="Arial" w:eastAsia="Arial" w:hAnsi="Arial"/>
                <w:b w:val="false"/>
                <w:bCs w:val="false"/>
                <w:sz w:val="18"/>
                <w:szCs w:val="18"/>
                <w:rtl/>
              </w:rPr>
              <w:t xml:space="preserve"> (§14)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تظهر أخطاء صيغة وتتغير المنح عند التنفيذ</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مهمة: نشر على SQL Server 2025 نظيف + حزمة اختبار السلوك</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غير مكتوبة (§13)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فارغة بعد النشر</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كتابتها مع شريحة S0</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w:t>
            </w:r>
            <w:r>
              <w:rPr>
                <w:rFonts w:ascii="Courier New" w:cs="Courier New" w:eastAsia="Courier New" w:hAnsi="Courier New"/>
                <w:b w:val="false"/>
                <w:bCs w:val="false"/>
                <w:color w:val="1F2937"/>
                <w:sz w:val="16"/>
                <w:szCs w:val="16"/>
                <w:shd w:fill="F1F3F5" w:color="auto" w:val="clear"/>
                <w:rtl/>
              </w:rPr>
              <w:t xml:space="preserve">‎sec.usp_SetAuthContext(@TenantId)‎</w:t>
            </w:r>
            <w:r>
              <w:rPr>
                <w:rFonts w:ascii="Arial" w:cs="Arial" w:eastAsia="Arial" w:hAnsi="Arial"/>
                <w:b w:val="false"/>
                <w:bCs w:val="false"/>
                <w:sz w:val="18"/>
                <w:szCs w:val="18"/>
                <w:rtl/>
              </w:rPr>
              <w:t xml:space="preserve"> يضبط المشترك فقط بعد فحص حالته، ويقتصر على قراءة صفوف الدخول؛ يُنظر فيه في S1 مع حدّ قراءة يضيّقه (عرض بأعمدة محددة)</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مخترق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يستطيع اختيار مستخدم نشط من أي مشترك</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تطبيق لكل مشترك (</w:t>
            </w:r>
            <w:r>
              <w:rPr>
                <w:rFonts w:ascii="Courier New" w:cs="Courier New" w:eastAsia="Courier New" w:hAnsi="Courier New"/>
                <w:b w:val="false"/>
                <w:bCs w:val="false"/>
                <w:color w:val="1F2937"/>
                <w:sz w:val="16"/>
                <w:szCs w:val="16"/>
                <w:shd w:fill="F1F3F5" w:color="auto" w:val="clear"/>
                <w:rtl/>
              </w:rPr>
              <w:t xml:space="preserve">‎sp_setapprole‎</w:t>
            </w:r>
            <w:r>
              <w:rPr>
                <w:rFonts w:ascii="Arial" w:cs="Arial" w:eastAsia="Arial" w:hAnsi="Arial"/>
                <w:b w:val="false"/>
                <w:bCs w:val="false"/>
                <w:sz w:val="18"/>
                <w:szCs w:val="18"/>
                <w:rtl/>
              </w:rPr>
              <w:t xml:space="preserve">) أو رمز موقَّع يتحقق منه الإجراء؛ يُختار في S1</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في S0 وتتحقق من </w:t>
            </w:r>
            <w:r>
              <w:rPr>
                <w:rFonts w:ascii="Courier New" w:cs="Courier New" w:eastAsia="Courier New" w:hAnsi="Courier New"/>
                <w:b w:val="false"/>
                <w:bCs w:val="false"/>
                <w:color w:val="1F2937"/>
                <w:sz w:val="16"/>
                <w:szCs w:val="16"/>
                <w:shd w:fill="F1F3F5" w:color="auto" w:val="clear"/>
                <w:rtl/>
              </w:rPr>
              <w:t xml:space="preserve">‎SupportAccessGrant‎</w:t>
            </w:r>
            <w:r>
              <w:rPr>
                <w:rFonts w:ascii="Arial" w:cs="Arial" w:eastAsia="Arial" w:hAnsi="Arial"/>
                <w:b w:val="false"/>
                <w:bCs w:val="false"/>
                <w:sz w:val="18"/>
                <w:szCs w:val="18"/>
                <w:rtl/>
              </w:rPr>
              <w:t xml:space="preserve"> أو من تهيئة المشترك</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bl>
    <w:p>
      <w:pPr>
        <w:bidi/>
        <w:spacing w:after="120" w:before="0"/>
      </w:pPr>
    </w:p>
    <w:p>
      <w:pPr>
        <w:pStyle w:val="Heading1"/>
        <w:bidi/>
      </w:pPr>
      <w:bookmarkStart w:name="_sec42" w:id="42"/>
      <w:r>
        <w:rPr>
          <w:rFonts w:ascii="Arial" w:cs="Arial" w:eastAsia="Arial" w:hAnsi="Arial"/>
          <w:b/>
          <w:bCs/>
          <w:color w:val="1F3A5F"/>
          <w:sz w:val="32"/>
          <w:szCs w:val="32"/>
          <w:rtl/>
        </w:rPr>
        <w:t xml:space="preserve">17. الخطوة التالية</w:t>
      </w:r>
      <w:bookmarkEnd w:id="42"/>
    </w:p>
    <w:p>
      <w:pPr>
        <w:pStyle w:val="ListParagraph"/>
        <w:numPr>
          <w:ilvl w:val="0"/>
          <w:numId w:val="7"/>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DB-20 والنقاط O-9 إلى O-13، والأسئلة التي تحتاج قرارك: </w:t>
      </w:r>
      <w:r>
        <w:rPr>
          <w:rFonts w:ascii="Arial" w:cs="Arial" w:eastAsia="Arial" w:hAnsi="Arial"/>
          <w:b/>
          <w:bCs/>
          <w:sz w:val="21"/>
          <w:szCs w:val="21"/>
          <w:rtl/>
        </w:rPr>
        <w:t xml:space="preserve">هل تعتمد تعديل المواصفة 13 (O-10)؟</w:t>
      </w:r>
    </w:p>
    <w:p>
      <w:pPr>
        <w:pStyle w:val="ListParagraph"/>
        <w:numPr>
          <w:ilvl w:val="0"/>
          <w:numId w:val="7"/>
        </w:numPr>
        <w:bidi/>
        <w:spacing w:after="70" w:before="0" w:line="300"/>
      </w:pPr>
      <w:r>
        <w:rPr>
          <w:rFonts w:ascii="Arial" w:cs="Arial" w:eastAsia="Arial" w:hAnsi="Arial"/>
          <w:b w:val="false"/>
          <w:bCs w:val="false"/>
          <w:sz w:val="21"/>
          <w:szCs w:val="21"/>
          <w:rtl/>
        </w:rPr>
        <w:t xml:space="preserve">نشر على </w:t>
      </w:r>
      <w:r>
        <w:rPr>
          <w:rFonts w:ascii="Arial" w:cs="Arial" w:eastAsia="Arial" w:hAnsi="Arial"/>
          <w:b/>
          <w:bCs/>
          <w:sz w:val="21"/>
          <w:szCs w:val="21"/>
          <w:rtl/>
        </w:rPr>
        <w:t xml:space="preserve">SQL Server 2025</w:t>
      </w:r>
      <w:r>
        <w:rPr>
          <w:rFonts w:ascii="Arial" w:cs="Arial" w:eastAsia="Arial" w:hAnsi="Arial"/>
          <w:b w:val="false"/>
          <w:bCs w:val="false"/>
          <w:sz w:val="21"/>
          <w:szCs w:val="21"/>
          <w:rtl/>
        </w:rPr>
        <w:t xml:space="preserve"> فعلي وتصحيح ما يظهر (O-1)، مع اختبارات السلوك المذكورة في §14.</w:t>
      </w:r>
    </w:p>
    <w:p>
      <w:pPr>
        <w:pStyle w:val="ListParagraph"/>
        <w:numPr>
          <w:ilvl w:val="0"/>
          <w:numId w:val="7"/>
        </w:numPr>
        <w:bidi/>
        <w:spacing w:after="70" w:before="0" w:line="300"/>
      </w:pPr>
      <w:r>
        <w:rPr>
          <w:rFonts w:ascii="Arial" w:cs="Arial" w:eastAsia="Arial" w:hAnsi="Arial"/>
          <w:b w:val="false"/>
          <w:bCs w:val="false"/>
          <w:sz w:val="21"/>
          <w:szCs w:val="21"/>
          <w:rtl/>
        </w:rPr>
        <w:t xml:space="preserve">ثم الواجهات والشريحة الرأسية S0، بعد حسم O-9 و O-11 و O-12.</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2026-10-10T23:05:28.079Z</dcterms:created>
  <dcterms:modified xsi:type="dcterms:W3CDTF">2026-10-10T23:05:28.080Z</dcterms:modified>
</cp:coreProperties>
</file>

<file path=docProps/custom.xml><?xml version="1.0" encoding="utf-8"?>
<Properties xmlns="http://schemas.openxmlformats.org/officeDocument/2006/custom-properties" xmlns:vt="http://schemas.openxmlformats.org/officeDocument/2006/docPropsVTypes"/>
</file>