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DOC-S15 — إجراء الاستجابة للحوادث الأمنية وإخطار خرق البيانات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فئات الحوادث</w:t>
        </w:r>
      </w:hyperlink>
    </w:p>
    <w:p>
      <w:pPr>
        <w:bidi/>
        <w:spacing w:after="50" w:before="0"/>
        <w:ind w:left="0"/>
      </w:pPr>
      <w:hyperlink w:history="1" w:anchor="_sec4">
        <w:r>
          <w:rPr>
            <w:rFonts w:ascii="Arial" w:cs="Arial" w:eastAsia="Arial" w:hAnsi="Arial"/>
            <w:b/>
            <w:bCs/>
            <w:color w:val="1F3A5F"/>
            <w:sz w:val="20"/>
            <w:szCs w:val="20"/>
            <w:rtl/>
          </w:rPr>
          <w:t xml:space="preserve">4. مستويات الشدة</w:t>
        </w:r>
      </w:hyperlink>
    </w:p>
    <w:p>
      <w:pPr>
        <w:bidi/>
        <w:spacing w:after="50" w:before="0"/>
        <w:ind w:left="0"/>
      </w:pPr>
      <w:hyperlink w:history="1" w:anchor="_sec5">
        <w:r>
          <w:rPr>
            <w:rFonts w:ascii="Arial" w:cs="Arial" w:eastAsia="Arial" w:hAnsi="Arial"/>
            <w:b/>
            <w:bCs/>
            <w:color w:val="1F3A5F"/>
            <w:sz w:val="20"/>
            <w:szCs w:val="20"/>
            <w:rtl/>
          </w:rPr>
          <w:t xml:space="preserve">5. الأدوار</w:t>
        </w:r>
      </w:hyperlink>
    </w:p>
    <w:p>
      <w:pPr>
        <w:bidi/>
        <w:spacing w:after="50" w:before="0"/>
        <w:ind w:left="0"/>
      </w:pPr>
      <w:hyperlink w:history="1" w:anchor="_sec6">
        <w:r>
          <w:rPr>
            <w:rFonts w:ascii="Arial" w:cs="Arial" w:eastAsia="Arial" w:hAnsi="Arial"/>
            <w:b/>
            <w:bCs/>
            <w:color w:val="1F3A5F"/>
            <w:sz w:val="20"/>
            <w:szCs w:val="20"/>
            <w:rtl/>
          </w:rPr>
          <w:t xml:space="preserve">6. مصادر الكشف</w:t>
        </w:r>
      </w:hyperlink>
    </w:p>
    <w:p>
      <w:pPr>
        <w:bidi/>
        <w:spacing w:after="50" w:before="0"/>
        <w:ind w:left="0"/>
      </w:pPr>
      <w:hyperlink w:history="1" w:anchor="_sec7">
        <w:r>
          <w:rPr>
            <w:rFonts w:ascii="Arial" w:cs="Arial" w:eastAsia="Arial" w:hAnsi="Arial"/>
            <w:b/>
            <w:bCs/>
            <w:color w:val="1F3A5F"/>
            <w:sz w:val="20"/>
            <w:szCs w:val="20"/>
            <w:rtl/>
          </w:rPr>
          <w:t xml:space="preserve">7. دورة الاستجابة</w:t>
        </w:r>
      </w:hyperlink>
    </w:p>
    <w:p>
      <w:pPr>
        <w:bidi/>
        <w:spacing w:after="50" w:before="0"/>
        <w:ind w:left="0"/>
      </w:pPr>
      <w:hyperlink w:history="1" w:anchor="_sec8">
        <w:r>
          <w:rPr>
            <w:rFonts w:ascii="Arial" w:cs="Arial" w:eastAsia="Arial" w:hAnsi="Arial"/>
            <w:b/>
            <w:bCs/>
            <w:color w:val="1F3A5F"/>
            <w:sz w:val="20"/>
            <w:szCs w:val="20"/>
            <w:rtl/>
          </w:rPr>
          <w:t xml:space="preserve">8. الاحتواء للسيناريوهات الرئيسية</w:t>
        </w:r>
      </w:hyperlink>
    </w:p>
    <w:p>
      <w:pPr>
        <w:bidi/>
        <w:spacing w:after="50" w:before="0"/>
        <w:ind w:left="0"/>
      </w:pPr>
      <w:hyperlink w:history="1" w:anchor="_sec14">
        <w:r>
          <w:rPr>
            <w:rFonts w:ascii="Arial" w:cs="Arial" w:eastAsia="Arial" w:hAnsi="Arial"/>
            <w:b/>
            <w:bCs/>
            <w:color w:val="1F3A5F"/>
            <w:sz w:val="20"/>
            <w:szCs w:val="20"/>
            <w:rtl/>
          </w:rPr>
          <w:t xml:space="preserve">9. حفظ الأدلة</w:t>
        </w:r>
      </w:hyperlink>
    </w:p>
    <w:p>
      <w:pPr>
        <w:bidi/>
        <w:spacing w:after="50" w:before="0"/>
        <w:ind w:left="0"/>
      </w:pPr>
      <w:hyperlink w:history="1" w:anchor="_sec15">
        <w:r>
          <w:rPr>
            <w:rFonts w:ascii="Arial" w:cs="Arial" w:eastAsia="Arial" w:hAnsi="Arial"/>
            <w:b/>
            <w:bCs/>
            <w:color w:val="1F3A5F"/>
            <w:sz w:val="20"/>
            <w:szCs w:val="20"/>
            <w:rtl/>
          </w:rPr>
          <w:t xml:space="preserve">10. الإخطار</w:t>
        </w:r>
      </w:hyperlink>
    </w:p>
    <w:p>
      <w:pPr>
        <w:bidi/>
        <w:spacing w:after="50" w:before="0"/>
        <w:ind w:left="0"/>
      </w:pPr>
      <w:hyperlink w:history="1" w:anchor="_sec21">
        <w:r>
          <w:rPr>
            <w:rFonts w:ascii="Arial" w:cs="Arial" w:eastAsia="Arial" w:hAnsi="Arial"/>
            <w:b/>
            <w:bCs/>
            <w:color w:val="1F3A5F"/>
            <w:sz w:val="20"/>
            <w:szCs w:val="20"/>
            <w:rtl/>
          </w:rPr>
          <w:t xml:space="preserve">11. التواصل أثناء الحادث</w:t>
        </w:r>
      </w:hyperlink>
    </w:p>
    <w:p>
      <w:pPr>
        <w:bidi/>
        <w:spacing w:after="50" w:before="0"/>
        <w:ind w:left="0"/>
      </w:pPr>
      <w:hyperlink w:history="1" w:anchor="_sec22">
        <w:r>
          <w:rPr>
            <w:rFonts w:ascii="Arial" w:cs="Arial" w:eastAsia="Arial" w:hAnsi="Arial"/>
            <w:b/>
            <w:bCs/>
            <w:color w:val="1F3A5F"/>
            <w:sz w:val="20"/>
            <w:szCs w:val="20"/>
            <w:rtl/>
          </w:rPr>
          <w:t xml:space="preserve">12. ما بعد الحادث</w:t>
        </w:r>
      </w:hyperlink>
    </w:p>
    <w:p>
      <w:pPr>
        <w:bidi/>
        <w:spacing w:after="50" w:before="0"/>
        <w:ind w:left="0"/>
      </w:pPr>
      <w:hyperlink w:history="1" w:anchor="_sec23">
        <w:r>
          <w:rPr>
            <w:rFonts w:ascii="Arial" w:cs="Arial" w:eastAsia="Arial" w:hAnsi="Arial"/>
            <w:b/>
            <w:bCs/>
            <w:color w:val="1F3A5F"/>
            <w:sz w:val="20"/>
            <w:szCs w:val="20"/>
            <w:rtl/>
          </w:rPr>
          <w:t xml:space="preserve">13. التمارين</w:t>
        </w:r>
      </w:hyperlink>
    </w:p>
    <w:p>
      <w:pPr>
        <w:bidi/>
        <w:spacing w:after="50" w:before="0"/>
        <w:ind w:left="0"/>
      </w:pPr>
      <w:hyperlink w:history="1" w:anchor="_sec24">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16.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فئات الحوادث</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1"/>
        <w:bidi/>
      </w:pPr>
      <w:bookmarkStart w:name="_sec4" w:id="4"/>
      <w:r>
        <w:rPr>
          <w:rFonts w:ascii="Arial" w:cs="Arial" w:eastAsia="Arial" w:hAnsi="Arial"/>
          <w:b/>
          <w:bCs/>
          <w:color w:val="1F3A5F"/>
          <w:sz w:val="32"/>
          <w:szCs w:val="32"/>
          <w:rtl/>
        </w:rPr>
        <w:t xml:space="preserve">4. مستويات الشدة </w:t>
      </w:r>
      <w:r>
        <w:rPr>
          <w:rFonts w:ascii="Arial" w:cs="Arial" w:eastAsia="Arial" w:hAnsi="Arial"/>
          <w:color w:val="E0A800"/>
          <w:sz w:val="32"/>
          <w:szCs w:val="32"/>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1"/>
        <w:bidi/>
      </w:pPr>
      <w:bookmarkStart w:name="_sec5" w:id="5"/>
      <w:r>
        <w:rPr>
          <w:rFonts w:ascii="Arial" w:cs="Arial" w:eastAsia="Arial" w:hAnsi="Arial"/>
          <w:b/>
          <w:bCs/>
          <w:color w:val="1F3A5F"/>
          <w:sz w:val="32"/>
          <w:szCs w:val="32"/>
          <w:rtl/>
        </w:rPr>
        <w:t xml:space="preserve">5. الأدوار </w:t>
      </w:r>
      <w:r>
        <w:rPr>
          <w:rFonts w:ascii="Arial" w:cs="Arial" w:eastAsia="Arial" w:hAnsi="Arial"/>
          <w:color w:val="E0A800"/>
          <w:sz w:val="32"/>
          <w:szCs w:val="32"/>
          <w:rtl/>
        </w:rPr>
        <w:t xml:space="preserve">●</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1"/>
        <w:bidi/>
      </w:pPr>
      <w:bookmarkStart w:name="_sec6" w:id="6"/>
      <w:r>
        <w:rPr>
          <w:rFonts w:ascii="Arial" w:cs="Arial" w:eastAsia="Arial" w:hAnsi="Arial"/>
          <w:b/>
          <w:bCs/>
          <w:color w:val="1F3A5F"/>
          <w:sz w:val="32"/>
          <w:szCs w:val="32"/>
          <w:rtl/>
        </w:rPr>
        <w:t xml:space="preserve">6. مصادر الكشف</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1"/>
        <w:bidi/>
      </w:pPr>
      <w:bookmarkStart w:name="_sec7" w:id="7"/>
      <w:r>
        <w:rPr>
          <w:rFonts w:ascii="Arial" w:cs="Arial" w:eastAsia="Arial" w:hAnsi="Arial"/>
          <w:b/>
          <w:bCs/>
          <w:color w:val="1F3A5F"/>
          <w:sz w:val="32"/>
          <w:szCs w:val="32"/>
          <w:rtl/>
        </w:rPr>
        <w:t xml:space="preserve">7. دورة الاستجابة</w:t>
      </w:r>
      <w:bookmarkEnd w:id="7"/>
    </w:p>
    <w:p>
      <w:pPr>
        <w:keepNext/>
        <w:bidi/>
        <w:spacing w:after="60" w:before="160"/>
        <w:jc w:val="center"/>
      </w:pPr>
      <w:r>
        <w:drawing>
          <wp:inline distT="0" distB="0" distL="0" distR="0">
            <wp:extent cx="54102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1"/>
        <w:bidi/>
      </w:pPr>
      <w:bookmarkStart w:name="_sec8" w:id="8"/>
      <w:r>
        <w:rPr>
          <w:rFonts w:ascii="Arial" w:cs="Arial" w:eastAsia="Arial" w:hAnsi="Arial"/>
          <w:b/>
          <w:bCs/>
          <w:color w:val="1F3A5F"/>
          <w:sz w:val="32"/>
          <w:szCs w:val="32"/>
          <w:rtl/>
        </w:rPr>
        <w:t xml:space="preserve">8. الاحتواء للسيناريوهات الرئيسية</w:t>
      </w:r>
      <w:bookmarkEnd w:id="8"/>
    </w:p>
    <w:p>
      <w:pPr>
        <w:pStyle w:val="Heading2"/>
        <w:bidi/>
      </w:pPr>
      <w:bookmarkStart w:name="_sec9" w:id="9"/>
      <w:r>
        <w:rPr>
          <w:rFonts w:ascii="Arial" w:cs="Arial" w:eastAsia="Arial" w:hAnsi="Arial"/>
          <w:b/>
          <w:bCs/>
          <w:color w:val="2B5C8A"/>
          <w:sz w:val="26"/>
          <w:szCs w:val="26"/>
          <w:rtl/>
        </w:rPr>
        <w:t xml:space="preserve">8.1 IC-1 تعرّض بين المشتركين</w:t>
      </w:r>
      <w:bookmarkEnd w:id="9"/>
    </w:p>
    <w:p>
      <w:pPr>
        <w:pStyle w:val="ListParagraph"/>
        <w:numPr>
          <w:ilvl w:val="0"/>
          <w:numId w:val="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2"/>
        <w:bidi/>
      </w:pPr>
      <w:bookmarkStart w:name="_sec10" w:id="10"/>
      <w:r>
        <w:rPr>
          <w:rFonts w:ascii="Arial" w:cs="Arial" w:eastAsia="Arial" w:hAnsi="Arial"/>
          <w:b/>
          <w:bCs/>
          <w:color w:val="2B5C8A"/>
          <w:sz w:val="26"/>
          <w:szCs w:val="26"/>
          <w:rtl/>
        </w:rPr>
        <w:t xml:space="preserve">8.2 IC-2 اختراق بيانات اعتماد</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2"/>
        <w:bidi/>
      </w:pPr>
      <w:bookmarkStart w:name="_sec11" w:id="11"/>
      <w:r>
        <w:rPr>
          <w:rFonts w:ascii="Arial" w:cs="Arial" w:eastAsia="Arial" w:hAnsi="Arial"/>
          <w:b/>
          <w:bCs/>
          <w:color w:val="2B5C8A"/>
          <w:sz w:val="26"/>
          <w:szCs w:val="26"/>
          <w:rtl/>
        </w:rPr>
        <w:t xml:space="preserve">8.3 IC-3 اختراق مفتاح</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2"/>
        <w:bidi/>
      </w:pPr>
      <w:bookmarkStart w:name="_sec12" w:id="12"/>
      <w:r>
        <w:rPr>
          <w:rFonts w:ascii="Arial" w:cs="Arial" w:eastAsia="Arial" w:hAnsi="Arial"/>
          <w:b/>
          <w:bCs/>
          <w:color w:val="2B5C8A"/>
          <w:sz w:val="26"/>
          <w:szCs w:val="26"/>
          <w:rtl/>
        </w:rPr>
        <w:t xml:space="preserve">8.4 IC-4 برمجية فدية أو فقد الخادم أو اختراقه</w:t>
      </w:r>
      <w:bookmarkEnd w:id="12"/>
    </w:p>
    <w:p>
      <w:pPr>
        <w:pStyle w:val="ListParagraph"/>
        <w:numPr>
          <w:ilvl w:val="0"/>
          <w:numId w:val="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2"/>
        <w:bidi/>
      </w:pPr>
      <w:bookmarkStart w:name="_sec13" w:id="13"/>
      <w:r>
        <w:rPr>
          <w:rFonts w:ascii="Arial" w:cs="Arial" w:eastAsia="Arial" w:hAnsi="Arial"/>
          <w:b/>
          <w:bCs/>
          <w:color w:val="2B5C8A"/>
          <w:sz w:val="26"/>
          <w:szCs w:val="26"/>
          <w:rtl/>
        </w:rPr>
        <w:t xml:space="preserve">8.5 IC-5 إلى IC-9 باختصار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حفظ الأدلة</w:t>
      </w:r>
      <w:bookmarkEnd w:id="14"/>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1"/>
        <w:bidi/>
      </w:pPr>
      <w:bookmarkStart w:name="_sec15" w:id="15"/>
      <w:r>
        <w:rPr>
          <w:rFonts w:ascii="Arial" w:cs="Arial" w:eastAsia="Arial" w:hAnsi="Arial"/>
          <w:b/>
          <w:bCs/>
          <w:color w:val="1F3A5F"/>
          <w:sz w:val="32"/>
          <w:szCs w:val="32"/>
          <w:rtl/>
        </w:rPr>
        <w:t xml:space="preserve">10. الإخطار</w:t>
      </w:r>
      <w:bookmarkEnd w:id="15"/>
    </w:p>
    <w:p>
      <w:pPr>
        <w:pStyle w:val="Heading2"/>
        <w:bidi/>
      </w:pPr>
      <w:bookmarkStart w:name="_sec16" w:id="16"/>
      <w:r>
        <w:rPr>
          <w:rFonts w:ascii="Arial" w:cs="Arial" w:eastAsia="Arial" w:hAnsi="Arial"/>
          <w:b/>
          <w:bCs/>
          <w:color w:val="2B5C8A"/>
          <w:sz w:val="26"/>
          <w:szCs w:val="26"/>
          <w:rtl/>
        </w:rPr>
        <w:t xml:space="preserve">10.1 تقييم الخرق</w:t>
      </w:r>
      <w:bookmarkEnd w:id="16"/>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2"/>
        <w:bidi/>
      </w:pPr>
      <w:bookmarkStart w:name="_sec17" w:id="17"/>
      <w:r>
        <w:rPr>
          <w:rFonts w:ascii="Arial" w:cs="Arial" w:eastAsia="Arial" w:hAnsi="Arial"/>
          <w:b/>
          <w:bCs/>
          <w:color w:val="2B5C8A"/>
          <w:sz w:val="26"/>
          <w:szCs w:val="26"/>
          <w:rtl/>
        </w:rPr>
        <w:t xml:space="preserve">10.2 إلى المشترك</w:t>
      </w:r>
      <w:bookmarkEnd w:id="17"/>
    </w:p>
    <w:p>
      <w:pPr>
        <w:keepNext/>
        <w:bidi/>
        <w:spacing w:after="60" w:before="160"/>
        <w:jc w:val="center"/>
      </w:pPr>
      <w:r>
        <w:drawing>
          <wp:inline distT="0" distB="0" distL="0" distR="0">
            <wp:extent cx="6096000" cy="30861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2"/>
        <w:bidi/>
      </w:pPr>
      <w:bookmarkStart w:name="_sec18" w:id="18"/>
      <w:r>
        <w:rPr>
          <w:rFonts w:ascii="Arial" w:cs="Arial" w:eastAsia="Arial" w:hAnsi="Arial"/>
          <w:b/>
          <w:bCs/>
          <w:color w:val="2B5C8A"/>
          <w:sz w:val="26"/>
          <w:szCs w:val="26"/>
          <w:rtl/>
        </w:rPr>
        <w:t xml:space="preserve">10.3 إلى الجهات المختصة</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2"/>
        <w:bidi/>
      </w:pPr>
      <w:bookmarkStart w:name="_sec19" w:id="19"/>
      <w:r>
        <w:rPr>
          <w:rFonts w:ascii="Arial" w:cs="Arial" w:eastAsia="Arial" w:hAnsi="Arial"/>
          <w:b/>
          <w:bCs/>
          <w:color w:val="2B5C8A"/>
          <w:sz w:val="26"/>
          <w:szCs w:val="26"/>
          <w:rtl/>
        </w:rPr>
        <w:t xml:space="preserve">10.4 من المعالجين الفرعيين وإليهم</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2"/>
        <w:bidi/>
      </w:pPr>
      <w:bookmarkStart w:name="_sec20" w:id="20"/>
      <w:r>
        <w:rPr>
          <w:rFonts w:ascii="Arial" w:cs="Arial" w:eastAsia="Arial" w:hAnsi="Arial"/>
          <w:b/>
          <w:bCs/>
          <w:color w:val="2B5C8A"/>
          <w:sz w:val="26"/>
          <w:szCs w:val="26"/>
          <w:rtl/>
        </w:rPr>
        <w:t xml:space="preserve">10.5 سجل الإخطار</w:t>
      </w:r>
      <w:bookmarkEnd w:id="20"/>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1"/>
        <w:bidi/>
      </w:pPr>
      <w:bookmarkStart w:name="_sec21" w:id="21"/>
      <w:r>
        <w:rPr>
          <w:rFonts w:ascii="Arial" w:cs="Arial" w:eastAsia="Arial" w:hAnsi="Arial"/>
          <w:b/>
          <w:bCs/>
          <w:color w:val="1F3A5F"/>
          <w:sz w:val="32"/>
          <w:szCs w:val="32"/>
          <w:rtl/>
        </w:rPr>
        <w:t xml:space="preserve">11. التواصل أثناء الحادث </w:t>
      </w:r>
      <w:r>
        <w:rPr>
          <w:rFonts w:ascii="Arial" w:cs="Arial" w:eastAsia="Arial" w:hAnsi="Arial"/>
          <w:color w:val="E0A800"/>
          <w:sz w:val="32"/>
          <w:szCs w:val="32"/>
          <w:rtl/>
        </w:rPr>
        <w:t xml:space="preserve">●</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1"/>
        <w:bidi/>
      </w:pPr>
      <w:bookmarkStart w:name="_sec22" w:id="22"/>
      <w:r>
        <w:rPr>
          <w:rFonts w:ascii="Arial" w:cs="Arial" w:eastAsia="Arial" w:hAnsi="Arial"/>
          <w:b/>
          <w:bCs/>
          <w:color w:val="1F3A5F"/>
          <w:sz w:val="32"/>
          <w:szCs w:val="32"/>
          <w:rtl/>
        </w:rPr>
        <w:t xml:space="preserve">12. ما بعد الحادث </w:t>
      </w:r>
      <w:r>
        <w:rPr>
          <w:rFonts w:ascii="Arial" w:cs="Arial" w:eastAsia="Arial" w:hAnsi="Arial"/>
          <w:color w:val="E0A800"/>
          <w:sz w:val="32"/>
          <w:szCs w:val="32"/>
          <w:rtl/>
        </w:rPr>
        <w:t xml:space="preserve">●</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1"/>
        <w:bidi/>
      </w:pPr>
      <w:bookmarkStart w:name="_sec23" w:id="23"/>
      <w:r>
        <w:rPr>
          <w:rFonts w:ascii="Arial" w:cs="Arial" w:eastAsia="Arial" w:hAnsi="Arial"/>
          <w:b/>
          <w:bCs/>
          <w:color w:val="1F3A5F"/>
          <w:sz w:val="32"/>
          <w:szCs w:val="32"/>
          <w:rtl/>
        </w:rPr>
        <w:t xml:space="preserve">13. التمارين </w:t>
      </w:r>
      <w:r>
        <w:rPr>
          <w:rFonts w:ascii="Arial" w:cs="Arial" w:eastAsia="Arial" w:hAnsi="Arial"/>
          <w:color w:val="E0A800"/>
          <w:sz w:val="32"/>
          <w:szCs w:val="32"/>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1"/>
        <w:bidi/>
      </w:pPr>
      <w:bookmarkStart w:name="_sec24" w:id="24"/>
      <w:r>
        <w:rPr>
          <w:rFonts w:ascii="Arial" w:cs="Arial" w:eastAsia="Arial" w:hAnsi="Arial"/>
          <w:b/>
          <w:bCs/>
          <w:color w:val="1F3A5F"/>
          <w:sz w:val="32"/>
          <w:szCs w:val="32"/>
          <w:rtl/>
        </w:rPr>
        <w:t xml:space="preserve">14.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15. تعارضات وفجوات في المصادر</w:t>
      </w:r>
      <w:bookmarkEnd w:id="25"/>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1"/>
        <w:bidi/>
      </w:pPr>
      <w:bookmarkStart w:name="_sec26" w:id="26"/>
      <w:r>
        <w:rPr>
          <w:rFonts w:ascii="Arial" w:cs="Arial" w:eastAsia="Arial" w:hAnsi="Arial"/>
          <w:b/>
          <w:bCs/>
          <w:color w:val="1F3A5F"/>
          <w:sz w:val="32"/>
          <w:szCs w:val="32"/>
          <w:rtl/>
        </w:rPr>
        <w:t xml:space="preserve">16.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DOC-S15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c4b8884f14fcc0b9547ce3c6d3c98602e86a8.png"/><Relationship Id="rId10" Type="http://schemas.openxmlformats.org/officeDocument/2006/relationships/image" Target="media/e340205fea492650193deb6aeaba424d296c28c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DOC-S15 — إجراء الاستجابة للحوادث الأمنية وإخطار خرق البيانات</dc:title>
  <dc:creator>Claude</dc:creator>
  <dc:description>BankFas database design document</dc:description>
  <cp:lastModifiedBy>Un-named</cp:lastModifiedBy>
  <cp:revision>1</cp:revision>
  <dcterms:created xsi:type="dcterms:W3CDTF">2026-10-20T12:31:57.739Z</dcterms:created>
  <dcterms:modified xsi:type="dcterms:W3CDTF">2026-10-20T12:31:57.739Z</dcterms:modified>
</cp:coreProperties>
</file>

<file path=docProps/custom.xml><?xml version="1.0" encoding="utf-8"?>
<Properties xmlns="http://schemas.openxmlformats.org/officeDocument/2006/custom-properties" xmlns:vt="http://schemas.openxmlformats.org/officeDocument/2006/docPropsVTypes"/>
</file>