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DOC-B02 — سجل سيناريوهات القبول للشريحتين S0 وS1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السجل</w:t>
        </w:r>
      </w:hyperlink>
    </w:p>
    <w:p>
      <w:pPr>
        <w:bidi/>
        <w:spacing w:after="50" w:before="0"/>
        <w:ind w:left="0"/>
      </w:pPr>
      <w:hyperlink w:history="1" w:anchor="_sec5">
        <w:r>
          <w:rPr>
            <w:rFonts w:ascii="Arial" w:cs="Arial" w:eastAsia="Arial" w:hAnsi="Arial"/>
            <w:b/>
            <w:bCs/>
            <w:color w:val="1F3A5F"/>
            <w:sz w:val="20"/>
            <w:szCs w:val="20"/>
            <w:rtl/>
          </w:rPr>
          <w:t xml:space="preserve">3. نصوص السيناريوهات الجديدة</w:t>
        </w:r>
      </w:hyperlink>
    </w:p>
    <w:p>
      <w:pPr>
        <w:bidi/>
        <w:spacing w:after="50" w:before="0"/>
        <w:ind w:left="0"/>
      </w:pPr>
      <w:hyperlink w:history="1" w:anchor="_sec13">
        <w:r>
          <w:rPr>
            <w:rFonts w:ascii="Arial" w:cs="Arial" w:eastAsia="Arial" w:hAnsi="Arial"/>
            <w:b/>
            <w:bCs/>
            <w:color w:val="1F3A5F"/>
            <w:sz w:val="20"/>
            <w:szCs w:val="20"/>
            <w:rtl/>
          </w:rPr>
          <w:t xml:space="preserve">4. معايير الخروج المرتبطة</w:t>
        </w:r>
      </w:hyperlink>
    </w:p>
    <w:p>
      <w:pPr>
        <w:bidi/>
        <w:spacing w:after="50" w:before="0"/>
        <w:ind w:left="0"/>
      </w:pPr>
      <w:hyperlink w:history="1" w:anchor="_sec14">
        <w:r>
          <w:rPr>
            <w:rFonts w:ascii="Arial" w:cs="Arial" w:eastAsia="Arial" w:hAnsi="Arial"/>
            <w:b/>
            <w:bCs/>
            <w:color w:val="1F3A5F"/>
            <w:sz w:val="20"/>
            <w:szCs w:val="20"/>
            <w:rtl/>
          </w:rPr>
          <w:t xml:space="preserve">5. جدول التغطية: المتطلب إلى السيناريو</w:t>
        </w:r>
      </w:hyperlink>
    </w:p>
    <w:p>
      <w:pPr>
        <w:bidi/>
        <w:spacing w:after="50" w:before="0"/>
        <w:ind w:left="0"/>
      </w:pPr>
      <w:hyperlink w:history="1" w:anchor="_sec22">
        <w:r>
          <w:rPr>
            <w:rFonts w:ascii="Arial" w:cs="Arial" w:eastAsia="Arial" w:hAnsi="Arial"/>
            <w:b/>
            <w:bCs/>
            <w:color w:val="1F3A5F"/>
            <w:sz w:val="20"/>
            <w:szCs w:val="20"/>
            <w:rtl/>
          </w:rPr>
          <w:t xml:space="preserve">6.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7.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8. التتبع</w:t>
        </w:r>
      </w:hyperlink>
    </w:p>
    <w:p>
      <w:pPr>
        <w:bidi/>
        <w:spacing w:after="50" w:before="0"/>
        <w:ind w:left="0"/>
      </w:pPr>
      <w:hyperlink w:history="1" w:anchor="_sec25">
        <w:r>
          <w:rPr>
            <w:rFonts w:ascii="Arial" w:cs="Arial" w:eastAsia="Arial" w:hAnsi="Arial"/>
            <w:b/>
            <w:bCs/>
            <w:color w:val="1F3A5F"/>
            <w:sz w:val="20"/>
            <w:szCs w:val="20"/>
            <w:rtl/>
          </w:rPr>
          <w:t xml:space="preserve">9. ملحق S1-ب (2026-10-22)</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1"/>
        <w:bidi/>
      </w:pPr>
      <w:bookmarkStart w:name="_sec2" w:id="2"/>
      <w:r>
        <w:rPr>
          <w:rFonts w:ascii="Arial" w:cs="Arial" w:eastAsia="Arial" w:hAnsi="Arial"/>
          <w:b/>
          <w:bCs/>
          <w:color w:val="1F3A5F"/>
          <w:sz w:val="32"/>
          <w:szCs w:val="32"/>
          <w:rtl/>
        </w:rPr>
        <w:t xml:space="preserve">2. السجل</w:t>
      </w:r>
      <w:bookmarkEnd w:id="2"/>
    </w:p>
    <w:p>
      <w:pPr>
        <w:pStyle w:val="Heading2"/>
        <w:bidi/>
      </w:pPr>
      <w:bookmarkStart w:name="_sec3" w:id="3"/>
      <w:r>
        <w:rPr>
          <w:rFonts w:ascii="Arial" w:cs="Arial" w:eastAsia="Arial" w:hAnsi="Arial"/>
          <w:b/>
          <w:bCs/>
          <w:color w:val="2B5C8A"/>
          <w:sz w:val="26"/>
          <w:szCs w:val="26"/>
          <w:rtl/>
        </w:rPr>
        <w:t xml:space="preserve">2.1 سيناريوهات قائمة داخل النطاق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2.2 سيناريوهات جديدة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3. نصوص السيناريوهات الجديدة</w:t>
      </w:r>
      <w:bookmarkEnd w:id="5"/>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2"/>
        <w:bidi/>
      </w:pPr>
      <w:bookmarkStart w:name="_sec6" w:id="6"/>
      <w:r>
        <w:rPr>
          <w:rFonts w:ascii="Arial" w:cs="Arial" w:eastAsia="Arial" w:hAnsi="Arial"/>
          <w:b/>
          <w:bCs/>
          <w:color w:val="2B5C8A"/>
          <w:sz w:val="26"/>
          <w:szCs w:val="26"/>
          <w:rtl/>
        </w:rPr>
        <w:t xml:space="preserve">3.1 المنصة (PLT)</w:t>
      </w:r>
      <w:bookmarkEnd w:id="6"/>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2"/>
        <w:bidi/>
      </w:pPr>
      <w:bookmarkStart w:name="_sec7" w:id="7"/>
      <w:r>
        <w:rPr>
          <w:rFonts w:ascii="Arial" w:cs="Arial" w:eastAsia="Arial" w:hAnsi="Arial"/>
          <w:b/>
          <w:bCs/>
          <w:color w:val="2B5C8A"/>
          <w:sz w:val="26"/>
          <w:szCs w:val="26"/>
          <w:rtl/>
        </w:rPr>
        <w:t xml:space="preserve">3.2 الهيكل المؤسسي (ORG)</w:t>
      </w:r>
      <w:bookmarkEnd w:id="7"/>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2"/>
        <w:bidi/>
      </w:pPr>
      <w:bookmarkStart w:name="_sec8" w:id="8"/>
      <w:r>
        <w:rPr>
          <w:rFonts w:ascii="Arial" w:cs="Arial" w:eastAsia="Arial" w:hAnsi="Arial"/>
          <w:b/>
          <w:bCs/>
          <w:color w:val="2B5C8A"/>
          <w:sz w:val="26"/>
          <w:szCs w:val="26"/>
          <w:rtl/>
        </w:rPr>
        <w:t xml:space="preserve">3.3 الأشخاص والجهات (PTY)</w:t>
      </w:r>
      <w:bookmarkEnd w:id="8"/>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2"/>
        <w:bidi/>
      </w:pPr>
      <w:bookmarkStart w:name="_sec9" w:id="9"/>
      <w:r>
        <w:rPr>
          <w:rFonts w:ascii="Arial" w:cs="Arial" w:eastAsia="Arial" w:hAnsi="Arial"/>
          <w:b/>
          <w:bCs/>
          <w:color w:val="2B5C8A"/>
          <w:sz w:val="26"/>
          <w:szCs w:val="26"/>
          <w:rtl/>
        </w:rPr>
        <w:t xml:space="preserve">3.4 المنشآت المالية (INS)</w:t>
      </w:r>
      <w:bookmarkEnd w:id="9"/>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2"/>
        <w:bidi/>
      </w:pPr>
      <w:bookmarkStart w:name="_sec10" w:id="10"/>
      <w:r>
        <w:rPr>
          <w:rFonts w:ascii="Arial" w:cs="Arial" w:eastAsia="Arial" w:hAnsi="Arial"/>
          <w:b/>
          <w:bCs/>
          <w:color w:val="2B5C8A"/>
          <w:sz w:val="26"/>
          <w:szCs w:val="26"/>
          <w:rtl/>
        </w:rPr>
        <w:t xml:space="preserve">3.5 الحسابات (ACC)</w:t>
      </w:r>
      <w:bookmarkEnd w:id="10"/>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2"/>
        <w:bidi/>
      </w:pPr>
      <w:bookmarkStart w:name="_sec11" w:id="11"/>
      <w:r>
        <w:rPr>
          <w:rFonts w:ascii="Arial" w:cs="Arial" w:eastAsia="Arial" w:hAnsi="Arial"/>
          <w:b/>
          <w:bCs/>
          <w:color w:val="2B5C8A"/>
          <w:sz w:val="26"/>
          <w:szCs w:val="26"/>
          <w:rtl/>
        </w:rPr>
        <w:t xml:space="preserve">3.6 الكتالوجات (CAT)</w:t>
      </w:r>
      <w:bookmarkEnd w:id="11"/>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2"/>
        <w:bidi/>
      </w:pPr>
      <w:bookmarkStart w:name="_sec12" w:id="12"/>
      <w:r>
        <w:rPr>
          <w:rFonts w:ascii="Arial" w:cs="Arial" w:eastAsia="Arial" w:hAnsi="Arial"/>
          <w:b/>
          <w:bCs/>
          <w:color w:val="2B5C8A"/>
          <w:sz w:val="26"/>
          <w:szCs w:val="26"/>
          <w:rtl/>
        </w:rPr>
        <w:t xml:space="preserve">3.7 الإشعارات (NTF)</w:t>
      </w:r>
      <w:bookmarkEnd w:id="12"/>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1"/>
        <w:bidi/>
      </w:pPr>
      <w:bookmarkStart w:name="_sec13" w:id="13"/>
      <w:r>
        <w:rPr>
          <w:rFonts w:ascii="Arial" w:cs="Arial" w:eastAsia="Arial" w:hAnsi="Arial"/>
          <w:b/>
          <w:bCs/>
          <w:color w:val="1F3A5F"/>
          <w:sz w:val="32"/>
          <w:szCs w:val="32"/>
          <w:rtl/>
        </w:rPr>
        <w:t xml:space="preserve">4. معايير الخروج المرتبطة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1"/>
        <w:bidi/>
      </w:pPr>
      <w:bookmarkStart w:name="_sec14" w:id="14"/>
      <w:r>
        <w:rPr>
          <w:rFonts w:ascii="Arial" w:cs="Arial" w:eastAsia="Arial" w:hAnsi="Arial"/>
          <w:b/>
          <w:bCs/>
          <w:color w:val="1F3A5F"/>
          <w:sz w:val="32"/>
          <w:szCs w:val="32"/>
          <w:rtl/>
        </w:rPr>
        <w:t xml:space="preserve">5. جدول التغطية: المتطلب إلى السيناريو</w:t>
      </w:r>
      <w:bookmarkEnd w:id="14"/>
    </w:p>
    <w:p>
      <w:pPr>
        <w:pStyle w:val="Heading2"/>
        <w:bidi/>
      </w:pPr>
      <w:bookmarkStart w:name="_sec15" w:id="15"/>
      <w:r>
        <w:rPr>
          <w:rFonts w:ascii="Arial" w:cs="Arial" w:eastAsia="Arial" w:hAnsi="Arial"/>
          <w:b/>
          <w:bCs/>
          <w:color w:val="2B5C8A"/>
          <w:sz w:val="26"/>
          <w:szCs w:val="26"/>
          <w:rtl/>
        </w:rPr>
        <w:t xml:space="preserve">5.1 المنصة (PLT)</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5.2 الهيكل المؤسسي (ORG)</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5.3 الأشخاص والجهات (PTY)</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5.4 المنشآت المالية (INS)</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5.5 الحسابات (ACC)</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 w:id="20"/>
      <w:r>
        <w:rPr>
          <w:rFonts w:ascii="Arial" w:cs="Arial" w:eastAsia="Arial" w:hAnsi="Arial"/>
          <w:b/>
          <w:bCs/>
          <w:color w:val="2B5C8A"/>
          <w:sz w:val="26"/>
          <w:szCs w:val="26"/>
          <w:rtl/>
        </w:rPr>
        <w:t xml:space="preserve">5.6 الكتالوجات (CAT)</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5.7 الإشعارات في S1 (NTF)</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1"/>
        <w:bidi/>
      </w:pPr>
      <w:bookmarkStart w:name="_sec22" w:id="22"/>
      <w:r>
        <w:rPr>
          <w:rFonts w:ascii="Arial" w:cs="Arial" w:eastAsia="Arial" w:hAnsi="Arial"/>
          <w:b/>
          <w:bCs/>
          <w:color w:val="1F3A5F"/>
          <w:sz w:val="32"/>
          <w:szCs w:val="32"/>
          <w:rtl/>
        </w:rPr>
        <w:t xml:space="preserve">6.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7. تعارضات وفجوات في المصادر</w:t>
      </w:r>
      <w:bookmarkEnd w:id="23"/>
    </w:p>
    <w:p>
      <w:pPr>
        <w:pStyle w:val="ListParagraph"/>
        <w:numPr>
          <w:ilvl w:val="0"/>
          <w:numId w:val="3"/>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3"/>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3"/>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3"/>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3"/>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3"/>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9. ملحق S1-ب (2026-10-22)</w:t>
      </w:r>
      <w:bookmarkEnd w:id="25"/>
    </w:p>
    <w:p>
      <w:pPr>
        <w:bidi/>
        <w:spacing w:after="110" w:before="0" w:line="312"/>
      </w:pPr>
      <w:r>
        <w:rPr>
          <w:rFonts w:ascii="Arial" w:cs="Arial" w:eastAsia="Arial" w:hAnsi="Arial"/>
          <w:b w:val="false"/>
          <w:bCs w:val="false"/>
          <w:sz w:val="21"/>
          <w:szCs w:val="21"/>
          <w:rtl/>
        </w:rPr>
        <w:t xml:space="preserve">كتبه وكيل ذكاء اصطناعي مع بناء S1-ب (</w:t>
      </w:r>
      <w:r>
        <w:rPr>
          <w:rFonts w:ascii="Courier New" w:cs="Courier New" w:eastAsia="Courier New" w:hAnsi="Courier New"/>
          <w:b w:val="false"/>
          <w:bCs w:val="false"/>
          <w:color w:val="1F2937"/>
          <w:sz w:val="18"/>
          <w:szCs w:val="18"/>
          <w:shd w:fill="F1F3F5" w:color="auto" w:val="clear"/>
          <w:rtl/>
        </w:rPr>
        <w:t xml:space="preserve">‎docs/44‎</w:t>
      </w:r>
      <w:r>
        <w:rPr>
          <w:rFonts w:ascii="Arial" w:cs="Arial" w:eastAsia="Arial" w:hAnsi="Arial"/>
          <w:b w:val="false"/>
          <w:bCs w:val="false"/>
          <w:sz w:val="21"/>
          <w:szCs w:val="21"/>
          <w:rtl/>
        </w:rPr>
        <w:t xml:space="preserve">، ADR 0042). مسار الخروج بقرار OQ-12 هو AC-ACC-3 مع AC-ACC-7، ويُعامَل FR-ACC-018 كمتطلب إلزامي لهذا الخروج.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4"/>
        <w:gridCol w:w="2600"/>
        <w:gridCol w:w="5316"/>
        <w:gridCol w:w="974"/>
      </w:tblGrid>
      <w:tr>
        <w:trPr>
          <w:cantSplit/>
          <w:tblHeader/>
        </w:trPr>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3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الملكية 100% والفرق في الرسالة، وإغلاق الصفوف في اليوم السابق، وحدث تدقيق واحد</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‎OwnershipTests.AC_ORG_1_*‎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AC-ORG-2</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المنفردة ثم المشتركة، و«مراجعة يدوية للعملة»، وعدم جمع السقوف المشتركة</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‎GovernanceTests.AC_ORG_2_*‎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AC-ACC-2 (جزء SVC-03)</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250,000 على X، و1,000,000 على Y، و250,000 على V بالمستوى MASTER، وشارة المفوَّض بعدد علاقاته</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‎SignatoryTests.AC_ACC_2_*‎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فحص الكفاية في S3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AC-ACC-3</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CEILING_EXCEEDS يُفتح بتحذير وإشعار، ويُقرّ بسبب، ويُحلّ آليًا برفع المنحة؛ NOT_COMPARABLE_CURRENCY بالدولار؛ NO_GRANT ببصمة جديدة عند تقييد المنحة ببنك آخر</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‎GovernanceConflictTests.AC_ACC_3_and_AC_ACC_7_*‎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AC-ACC-4</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في 11-15 و11-30 و12-08 و12-15 بلا تكرار في اليوم، وEXPIRED في 12-16، والحساب في R-ACC-05</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‎SignatoryTests.AC_ACC_4_*‎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التوقيع: رفض لموظف الخزينة مع سجل، وفتح للمسؤول المالي مع سجل</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‎SignatoryTests.AC_ACC_6_*‎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AC-ACC-7 (جديد)</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R-ACC-04 يسرد تعارضات السيناريو بالشركة والرمز؛ يقرؤه المدقق ولا يقرّ؛ الطباعة تُدقَّق؛ تشغيل المقارنة الليلية مرتين لا يضيف شيئًا</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‎GovernanceConflictTests.AC_ACC_3_and_AC_ACC_7_*‎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تصحيحان لنص المعايير بقرارات الموجز:</w:t>
      </w:r>
    </w:p>
    <w:p>
      <w:pPr>
        <w:pStyle w:val="ListParagraph"/>
        <w:numPr>
          <w:ilvl w:val="0"/>
          <w:numId w:val="2"/>
        </w:numPr>
        <w:bidi/>
        <w:spacing w:after="70" w:before="0" w:line="300"/>
      </w:pPr>
      <w:r>
        <w:rPr>
          <w:rFonts w:ascii="Arial" w:cs="Arial" w:eastAsia="Arial" w:hAnsi="Arial"/>
          <w:b/>
          <w:bCs/>
          <w:sz w:val="21"/>
          <w:szCs w:val="21"/>
          <w:rtl/>
        </w:rPr>
        <w:t xml:space="preserve">AC-ACC-4 (OQ-13):</w:t>
      </w:r>
      <w:r>
        <w:rPr>
          <w:rFonts w:ascii="Arial" w:cs="Arial" w:eastAsia="Arial" w:hAnsi="Arial"/>
          <w:b w:val="false"/>
          <w:bCs w:val="false"/>
          <w:sz w:val="21"/>
          <w:szCs w:val="21"/>
          <w:rtl/>
        </w:rPr>
        <w:t xml:space="preserve"> «وثيقة تفويض بلا انتهاء» تُقرأ قرارَ مجلس الإدارة (BOARD_RESOLUTION)، لأن البذور تجعل للوكالة ولتفويض المفوَّضين تاريخ انتهاء إلزاميًا.</w:t>
      </w:r>
    </w:p>
    <w:p>
      <w:pPr>
        <w:pStyle w:val="ListParagraph"/>
        <w:numPr>
          <w:ilvl w:val="0"/>
          <w:numId w:val="2"/>
        </w:numPr>
        <w:bidi/>
        <w:spacing w:after="70" w:before="0" w:line="300"/>
      </w:pPr>
      <w:r>
        <w:rPr>
          <w:rFonts w:ascii="Arial" w:cs="Arial" w:eastAsia="Arial" w:hAnsi="Arial"/>
          <w:b/>
          <w:bCs/>
          <w:sz w:val="21"/>
          <w:szCs w:val="21"/>
          <w:rtl/>
        </w:rPr>
        <w:t xml:space="preserve">AC-ACC-3 (OQ-6):</w:t>
      </w:r>
      <w:r>
        <w:rPr>
          <w:rFonts w:ascii="Arial" w:cs="Arial" w:eastAsia="Arial" w:hAnsi="Arial"/>
          <w:b w:val="false"/>
          <w:bCs w:val="false"/>
          <w:sz w:val="21"/>
          <w:szCs w:val="21"/>
          <w:rtl/>
        </w:rPr>
        <w:t xml:space="preserve"> رفع المنحة إلى 3,500,000 منحة جديدة يوافق عليها مستخدم آخر، ثم يُحلّ التعارض.</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BankFas — DOC-B02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DOC-B02 — سجل سيناريوهات القبول للشريحتين S0 وS1</dc:title>
  <dc:creator>Claude</dc:creator>
  <dc:description>BankFas database design document</dc:description>
  <cp:lastModifiedBy>Un-named</cp:lastModifiedBy>
  <cp:revision>1</cp:revision>
  <dcterms:created xsi:type="dcterms:W3CDTF">2026-10-22T08:27:13.955Z</dcterms:created>
  <dcterms:modified xsi:type="dcterms:W3CDTF">2026-10-22T08:27:13.955Z</dcterms:modified>
</cp:coreProperties>
</file>

<file path=docProps/custom.xml><?xml version="1.0" encoding="utf-8"?>
<Properties xmlns="http://schemas.openxmlformats.org/officeDocument/2006/custom-properties" xmlns:vt="http://schemas.openxmlformats.org/officeDocument/2006/docPropsVTypes"/>
</file>