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bidi/>
      </w:pPr>
      <w:r>
        <w:rPr>
          <w:rFonts w:ascii="Arial" w:cs="Arial" w:eastAsia="Arial" w:hAnsi="Arial"/>
          <w:b/>
          <w:bCs/>
          <w:color w:val="1F3A5F"/>
          <w:sz w:val="48"/>
          <w:szCs w:val="48"/>
          <w:rtl/>
        </w:rPr>
        <w:t xml:space="preserve">المرحلة الثانية: بناء التطبيق — الشريحة S1-ب</w:t>
      </w:r>
    </w:p>
    <w:p>
      <w:pPr>
        <w:bidi/>
        <w:spacing w:after="110" w:before="0" w:line="312"/>
      </w:pPr>
      <w:r>
        <w:rPr>
          <w:rFonts w:ascii="Arial" w:cs="Arial" w:eastAsia="Arial" w:hAnsi="Arial"/>
          <w:b w:val="false"/>
          <w:bCs w:val="false"/>
          <w:sz w:val="21"/>
          <w:szCs w:val="21"/>
          <w:rtl/>
        </w:rPr>
        <w:t xml:space="preserve">التاريخ: 2026-10-22. الطلب 39 في </w:t>
      </w:r>
      <w:r>
        <w:rPr>
          <w:rFonts w:ascii="Courier New" w:cs="Courier New" w:eastAsia="Courier New" w:hAnsi="Courier New"/>
          <w:b w:val="false"/>
          <w:bCs w:val="false"/>
          <w:color w:val="1F2937"/>
          <w:sz w:val="18"/>
          <w:szCs w:val="18"/>
          <w:shd w:fill="F1F3F5" w:color="auto" w:val="clear"/>
          <w:rtl/>
        </w:rPr>
        <w:t xml:space="preserve">‎docs/31‎</w:t>
      </w:r>
      <w:r>
        <w:rPr>
          <w:rFonts w:ascii="Arial" w:cs="Arial" w:eastAsia="Arial" w:hAnsi="Arial"/>
          <w:b w:val="false"/>
          <w:bCs w:val="false"/>
          <w:sz w:val="21"/>
          <w:szCs w:val="21"/>
          <w:rtl/>
        </w:rPr>
        <w:t xml:space="preserve">، والقرار المعماري ADR 0042.</w:t>
      </w:r>
    </w:p>
    <w:p>
      <w:pPr>
        <w:bidi/>
        <w:spacing w:after="110" w:before="0" w:line="312"/>
      </w:pPr>
      <w:r>
        <w:rPr>
          <w:rFonts w:ascii="Arial" w:cs="Arial" w:eastAsia="Arial" w:hAnsi="Arial"/>
          <w:b w:val="false"/>
          <w:bCs w:val="false"/>
          <w:sz w:val="21"/>
          <w:szCs w:val="21"/>
          <w:rtl/>
        </w:rPr>
        <w:t xml:space="preserve">كتب هذا البناء وهذا التقرير وكيلُ ذكاء اصطناعي. والنصوص الافتراضية للحزم والرسائل مقترحة منه، وتحتاج مراجعة الخزينة.</w:t>
      </w:r>
    </w:p>
    <w:p>
      <w:pPr>
        <w:pStyle w:val="Heading1"/>
        <w:bidi/>
      </w:pPr>
      <w:bookmarkStart w:name="_sec1" w:id="1"/>
      <w:r>
        <w:rPr>
          <w:rFonts w:ascii="Arial" w:cs="Arial" w:eastAsia="Arial" w:hAnsi="Arial"/>
          <w:b/>
          <w:bCs/>
          <w:color w:val="1F3A5F"/>
          <w:sz w:val="32"/>
          <w:szCs w:val="32"/>
          <w:rtl/>
        </w:rPr>
        <w:t xml:space="preserve">1. ما طلبه المالك</w:t>
      </w:r>
      <w:bookmarkEnd w:id="1"/>
    </w:p>
    <w:p>
      <w:pPr>
        <w:pStyle w:val="ListParagraph"/>
        <w:numPr>
          <w:ilvl w:val="0"/>
          <w:numId w:val="2"/>
        </w:numPr>
        <w:bidi/>
        <w:spacing w:after="70" w:before="0" w:line="300"/>
      </w:pPr>
      <w:r>
        <w:rPr>
          <w:rFonts w:ascii="Arial" w:cs="Arial" w:eastAsia="Arial" w:hAnsi="Arial"/>
          <w:b w:val="false"/>
          <w:bCs w:val="false"/>
          <w:sz w:val="21"/>
          <w:szCs w:val="21"/>
          <w:rtl/>
        </w:rPr>
        <w:t xml:space="preserve">«أعتمد الافتراضات وابدأ ببناء S1-ب»، ثم «تابع البناء بعد انتهاء الدراسة».</w:t>
      </w:r>
    </w:p>
    <w:p>
      <w:pPr>
        <w:pStyle w:val="ListParagraph"/>
        <w:numPr>
          <w:ilvl w:val="0"/>
          <w:numId w:val="2"/>
        </w:numPr>
        <w:bidi/>
        <w:spacing w:after="70" w:before="0" w:line="300"/>
      </w:pPr>
      <w:r>
        <w:rPr>
          <w:rFonts w:ascii="Arial" w:cs="Arial" w:eastAsia="Arial" w:hAnsi="Arial"/>
          <w:b w:val="false"/>
          <w:bCs w:val="false"/>
          <w:sz w:val="21"/>
          <w:szCs w:val="21"/>
          <w:rtl/>
        </w:rPr>
        <w:t xml:space="preserve">سبق البناءَ موجزٌ درس عقد قاعدة البيانات لـ S1-ب. وجد 19 ثغرة (S1B-GAP-1 إلى 19) و19 سؤالًا مفتوحًا (OQ-1 إلى 19)، ولكل سؤال افتراض مقترح. بُني على هذه الافتراضات، وهي مدرجة في §4 لاعتماد المالك.</w:t>
      </w:r>
    </w:p>
    <w:p>
      <w:pPr>
        <w:bidi/>
        <w:spacing w:after="60" w:before="0"/>
      </w:pPr>
    </w:p>
    <w:p>
      <w:pPr>
        <w:bidi/>
        <w:spacing w:after="110" w:before="0" w:line="312"/>
      </w:pPr>
      <w:r>
        <w:rPr>
          <w:rFonts w:ascii="Arial" w:cs="Arial" w:eastAsia="Arial" w:hAnsi="Arial"/>
          <w:b w:val="false"/>
          <w:bCs w:val="false"/>
          <w:sz w:val="21"/>
          <w:szCs w:val="21"/>
          <w:rtl/>
        </w:rPr>
        <w:t xml:space="preserve">S1-ب هي هيكل الشركة وصلاحيات التوقيع:</w:t>
      </w:r>
    </w:p>
    <w:p>
      <w:pPr>
        <w:pStyle w:val="ListParagraph"/>
        <w:numPr>
          <w:ilvl w:val="0"/>
          <w:numId w:val="2"/>
        </w:numPr>
        <w:bidi/>
        <w:spacing w:after="70" w:before="0" w:line="300"/>
      </w:pPr>
      <w:r>
        <w:rPr>
          <w:rFonts w:ascii="Arial" w:cs="Arial" w:eastAsia="Arial" w:hAnsi="Arial"/>
          <w:b w:val="false"/>
          <w:bCs w:val="false"/>
          <w:sz w:val="21"/>
          <w:szCs w:val="21"/>
          <w:rtl/>
        </w:rPr>
        <w:t xml:space="preserve">الملكية المباشرة وغير المباشرة.</w:t>
      </w:r>
    </w:p>
    <w:p>
      <w:pPr>
        <w:pStyle w:val="ListParagraph"/>
        <w:numPr>
          <w:ilvl w:val="0"/>
          <w:numId w:val="2"/>
        </w:numPr>
        <w:bidi/>
        <w:spacing w:after="70" w:before="0" w:line="300"/>
      </w:pPr>
      <w:r>
        <w:rPr>
          <w:rFonts w:ascii="Arial" w:cs="Arial" w:eastAsia="Arial" w:hAnsi="Arial"/>
          <w:b w:val="false"/>
          <w:bCs w:val="false"/>
          <w:sz w:val="21"/>
          <w:szCs w:val="21"/>
          <w:rtl/>
        </w:rPr>
        <w:t xml:space="preserve">هيئات الحوكمة وأعضاؤها ومنح الصلاحيات.</w:t>
      </w:r>
    </w:p>
    <w:p>
      <w:pPr>
        <w:pStyle w:val="ListParagraph"/>
        <w:numPr>
          <w:ilvl w:val="0"/>
          <w:numId w:val="2"/>
        </w:numPr>
        <w:bidi/>
        <w:spacing w:after="70" w:before="0" w:line="300"/>
      </w:pPr>
      <w:r>
        <w:rPr>
          <w:rFonts w:ascii="Arial" w:cs="Arial" w:eastAsia="Arial" w:hAnsi="Arial"/>
          <w:b w:val="false"/>
          <w:bCs w:val="false"/>
          <w:sz w:val="21"/>
          <w:szCs w:val="21"/>
          <w:rtl/>
        </w:rPr>
        <w:t xml:space="preserve">المفوَّضون بالتوقيع لدى البنوك وصلاحياتهم.</w:t>
      </w:r>
    </w:p>
    <w:p>
      <w:pPr>
        <w:pStyle w:val="ListParagraph"/>
        <w:numPr>
          <w:ilvl w:val="0"/>
          <w:numId w:val="2"/>
        </w:numPr>
        <w:bidi/>
        <w:spacing w:after="70" w:before="0" w:line="300"/>
      </w:pPr>
      <w:r>
        <w:rPr>
          <w:rFonts w:ascii="Arial" w:cs="Arial" w:eastAsia="Arial" w:hAnsi="Arial"/>
          <w:b w:val="false"/>
          <w:bCs w:val="false"/>
          <w:sz w:val="21"/>
          <w:szCs w:val="21"/>
          <w:rtl/>
        </w:rPr>
        <w:t xml:space="preserve">مقارنة صلاحيات البنوك بمنح الحوكمة وتسجيل التعارضات.</w:t>
      </w:r>
    </w:p>
    <w:p>
      <w:pPr>
        <w:bidi/>
        <w:spacing w:after="60" w:before="0"/>
      </w:pPr>
    </w:p>
    <w:p>
      <w:pPr>
        <w:bidi/>
        <w:spacing w:after="110" w:before="0" w:line="312"/>
      </w:pPr>
      <w:r>
        <w:rPr>
          <w:rFonts w:ascii="Arial" w:cs="Arial" w:eastAsia="Arial" w:hAnsi="Arial"/>
          <w:b w:val="false"/>
          <w:bCs w:val="false"/>
          <w:sz w:val="21"/>
          <w:szCs w:val="21"/>
          <w:rtl/>
        </w:rPr>
        <w:t xml:space="preserve">مسار الخروج من S1-ب (OQ-12): </w:t>
      </w:r>
      <w:r>
        <w:rPr>
          <w:rFonts w:ascii="Arial" w:cs="Arial" w:eastAsia="Arial" w:hAnsi="Arial"/>
          <w:b/>
          <w:bCs/>
          <w:sz w:val="21"/>
          <w:szCs w:val="21"/>
          <w:rtl/>
        </w:rPr>
        <w:t xml:space="preserve">AC-ACC-3</w:t>
      </w:r>
      <w:r>
        <w:rPr>
          <w:rFonts w:ascii="Arial" w:cs="Arial" w:eastAsia="Arial" w:hAnsi="Arial"/>
          <w:b w:val="false"/>
          <w:bCs w:val="false"/>
          <w:sz w:val="21"/>
          <w:szCs w:val="21"/>
          <w:rtl/>
        </w:rPr>
        <w:t xml:space="preserve"> (تعارض الحوكمة من فتحه إلى حلّه) و</w:t>
      </w:r>
      <w:r>
        <w:rPr>
          <w:rFonts w:ascii="Arial" w:cs="Arial" w:eastAsia="Arial" w:hAnsi="Arial"/>
          <w:b/>
          <w:bCs/>
          <w:sz w:val="21"/>
          <w:szCs w:val="21"/>
          <w:rtl/>
        </w:rPr>
        <w:t xml:space="preserve">AC-ACC-7</w:t>
      </w:r>
      <w:r>
        <w:rPr>
          <w:rFonts w:ascii="Arial" w:cs="Arial" w:eastAsia="Arial" w:hAnsi="Arial"/>
          <w:b w:val="false"/>
          <w:bCs w:val="false"/>
          <w:sz w:val="21"/>
          <w:szCs w:val="21"/>
          <w:rtl/>
        </w:rPr>
        <w:t xml:space="preserve"> (تقرير التعارضات R-ACC-04)، مع AC-ORG-1 وAC-ORG-2 وAC-ACC-2 (جزء SVC-03) وAC-ACC-4.</w:t>
      </w:r>
    </w:p>
    <w:p>
      <w:pPr>
        <w:pStyle w:val="Heading1"/>
        <w:bidi/>
      </w:pPr>
      <w:bookmarkStart w:name="_sec2" w:id="2"/>
      <w:r>
        <w:rPr>
          <w:rFonts w:ascii="Arial" w:cs="Arial" w:eastAsia="Arial" w:hAnsi="Arial"/>
          <w:b/>
          <w:bCs/>
          <w:color w:val="1F3A5F"/>
          <w:sz w:val="32"/>
          <w:szCs w:val="32"/>
          <w:rtl/>
        </w:rPr>
        <w:t xml:space="preserve">2. الدفعات</w:t>
      </w:r>
      <w:bookmarkEnd w:id="2"/>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2042"/>
        <w:gridCol w:w="5440"/>
        <w:gridCol w:w="2382"/>
      </w:tblGrid>
      <w:tr>
        <w:trPr>
          <w:cantSplit/>
          <w:tblHeader/>
        </w:trPr>
        <w:tc>
          <w:tcPr>
            <w:tcW w:type="dxa" w:w="204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الدفعة</w:t>
            </w:r>
          </w:p>
        </w:tc>
        <w:tc>
          <w:tcPr>
            <w:tcW w:type="dxa" w:w="544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المحتوى</w:t>
            </w:r>
          </w:p>
        </w:tc>
        <w:tc>
          <w:tcPr>
            <w:tcW w:type="dxa" w:w="238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الإيداع</w:t>
            </w:r>
          </w:p>
        </w:tc>
      </w:tr>
      <w:tr>
        <w:trPr>
          <w:cantSplit/>
        </w:trPr>
        <w:tc>
          <w:tcPr>
            <w:tcW w:type="dxa" w:w="204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S1B-A</w:t>
            </w:r>
          </w:p>
        </w:tc>
        <w:tc>
          <w:tcPr>
            <w:tcW w:type="dxa" w:w="54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الحزمتان NTF.BASE v3 وCORE.EXPIRY v2، وإعداد فصل المهام، وحماية القاعدة 061، وتعديل النموذج، وسجلّ مزوّدي الانتهاء، وفحص تصادم الدمج، والمستند المستخدَم، والاستخدام النشط</w:t>
            </w:r>
          </w:p>
        </w:tc>
        <w:tc>
          <w:tcPr>
            <w:tcW w:type="dxa" w:w="23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61f42e6</w:t>
            </w:r>
          </w:p>
        </w:tc>
      </w:tr>
      <w:tr>
        <w:trPr>
          <w:cantSplit/>
        </w:trPr>
        <w:tc>
          <w:tcPr>
            <w:tcW w:type="dxa" w:w="204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S1B-B</w:t>
            </w:r>
          </w:p>
        </w:tc>
        <w:tc>
          <w:tcPr>
            <w:tcW w:type="dxa" w:w="54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الملكية: المعالج وفحص 100% والملكية الفعلية وتقرير المخالفة</w:t>
            </w:r>
          </w:p>
        </w:tc>
        <w:tc>
          <w:tcPr>
            <w:tcW w:type="dxa" w:w="23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0e209ce</w:t>
            </w:r>
          </w:p>
        </w:tc>
      </w:tr>
      <w:tr>
        <w:trPr>
          <w:cantSplit/>
        </w:trPr>
        <w:tc>
          <w:tcPr>
            <w:tcW w:type="dxa" w:w="204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S1B-C</w:t>
            </w:r>
          </w:p>
        </w:tc>
        <w:tc>
          <w:tcPr>
            <w:tcW w:type="dxa" w:w="54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الهيئات والأعضاء والمنح واستعلام الصلاحية والمصفوفة وتقرير تكامل الهيكل</w:t>
            </w:r>
          </w:p>
        </w:tc>
        <w:tc>
          <w:tcPr>
            <w:tcW w:type="dxa" w:w="23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0e209ce</w:t>
            </w:r>
          </w:p>
        </w:tc>
      </w:tr>
      <w:tr>
        <w:trPr>
          <w:cantSplit/>
        </w:trPr>
        <w:tc>
          <w:tcPr>
            <w:tcW w:type="dxa" w:w="204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S1B-D</w:t>
            </w:r>
          </w:p>
        </w:tc>
        <w:tc>
          <w:tcPr>
            <w:tcW w:type="dxa" w:w="54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المفوَّضون وصلاحياتهم وSVC-03 والمهمة JOB-ACC-EXPIRY ونموذج التوقيع</w:t>
            </w:r>
          </w:p>
        </w:tc>
        <w:tc>
          <w:tcPr>
            <w:tcW w:type="dxa" w:w="23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dd9bbc8</w:t>
            </w:r>
          </w:p>
        </w:tc>
      </w:tr>
      <w:tr>
        <w:trPr>
          <w:cantSplit/>
        </w:trPr>
        <w:tc>
          <w:tcPr>
            <w:tcW w:type="dxa" w:w="204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S1B-E</w:t>
            </w:r>
          </w:p>
        </w:tc>
        <w:tc>
          <w:tcPr>
            <w:tcW w:type="dxa" w:w="54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مقارنة الحوكمة والتعارضات وتقرير R-ACC-04 ومسار الخروج والمستندات</w:t>
            </w:r>
          </w:p>
        </w:tc>
        <w:tc>
          <w:tcPr>
            <w:tcW w:type="dxa" w:w="23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7469b52 وهذا الإيداع</w:t>
            </w:r>
          </w:p>
        </w:tc>
      </w:tr>
    </w:tbl>
    <w:p>
      <w:pPr>
        <w:bidi/>
        <w:spacing w:after="120" w:before="0"/>
      </w:pPr>
    </w:p>
    <w:p>
      <w:pPr>
        <w:pBdr>
          <w:bottom w:val="single" w:color="1F3A5F" w:sz="8" w:space="4"/>
        </w:pBdr>
        <w:bidi/>
        <w:spacing w:after="100" w:before="280"/>
      </w:pPr>
      <w:r>
        <w:rPr>
          <w:rFonts w:ascii="Arial" w:cs="Arial" w:eastAsia="Arial" w:hAnsi="Arial"/>
          <w:b/>
          <w:bCs/>
          <w:color w:val="1F3A5F"/>
          <w:sz w:val="32"/>
          <w:szCs w:val="32"/>
          <w:rtl/>
        </w:rPr>
        <w:t xml:space="preserve">المحتويات</w:t>
      </w:r>
    </w:p>
    <w:p>
      <w:pPr>
        <w:bidi/>
        <w:spacing w:after="50" w:before="0"/>
        <w:ind w:left="0"/>
      </w:pPr>
      <w:hyperlink w:history="1" w:anchor="_sec1">
        <w:r>
          <w:rPr>
            <w:rFonts w:ascii="Arial" w:cs="Arial" w:eastAsia="Arial" w:hAnsi="Arial"/>
            <w:b/>
            <w:bCs/>
            <w:color w:val="1F3A5F"/>
            <w:sz w:val="20"/>
            <w:szCs w:val="20"/>
            <w:rtl/>
          </w:rPr>
          <w:t xml:space="preserve">1. ما طلبه المالك</w:t>
        </w:r>
      </w:hyperlink>
    </w:p>
    <w:p>
      <w:pPr>
        <w:bidi/>
        <w:spacing w:after="50" w:before="0"/>
        <w:ind w:left="0"/>
      </w:pPr>
      <w:hyperlink w:history="1" w:anchor="_sec2">
        <w:r>
          <w:rPr>
            <w:rFonts w:ascii="Arial" w:cs="Arial" w:eastAsia="Arial" w:hAnsi="Arial"/>
            <w:b/>
            <w:bCs/>
            <w:color w:val="1F3A5F"/>
            <w:sz w:val="20"/>
            <w:szCs w:val="20"/>
            <w:rtl/>
          </w:rPr>
          <w:t xml:space="preserve">2. الدفعات</w:t>
        </w:r>
      </w:hyperlink>
    </w:p>
    <w:p>
      <w:pPr>
        <w:bidi/>
        <w:spacing w:after="50" w:before="0"/>
        <w:ind w:left="0"/>
      </w:pPr>
      <w:hyperlink w:history="1" w:anchor="_sec3">
        <w:r>
          <w:rPr>
            <w:rFonts w:ascii="Arial" w:cs="Arial" w:eastAsia="Arial" w:hAnsi="Arial"/>
            <w:b/>
            <w:bCs/>
            <w:color w:val="1F3A5F"/>
            <w:sz w:val="20"/>
            <w:szCs w:val="20"/>
            <w:rtl/>
          </w:rPr>
          <w:t xml:space="preserve">3. ما يعمل الآن</w:t>
        </w:r>
      </w:hyperlink>
    </w:p>
    <w:p>
      <w:pPr>
        <w:bidi/>
        <w:spacing w:after="50" w:before="0"/>
        <w:ind w:left="0"/>
      </w:pPr>
      <w:hyperlink w:history="1" w:anchor="_sec9">
        <w:r>
          <w:rPr>
            <w:rFonts w:ascii="Arial" w:cs="Arial" w:eastAsia="Arial" w:hAnsi="Arial"/>
            <w:b/>
            <w:bCs/>
            <w:color w:val="1F3A5F"/>
            <w:sz w:val="20"/>
            <w:szCs w:val="20"/>
            <w:rtl/>
          </w:rPr>
          <w:t xml:space="preserve">4. الافتراضات المأخوذة (لاعتماد المالك)</w:t>
        </w:r>
      </w:hyperlink>
    </w:p>
    <w:p>
      <w:pPr>
        <w:bidi/>
        <w:spacing w:after="50" w:before="0"/>
        <w:ind w:left="0"/>
      </w:pPr>
      <w:hyperlink w:history="1" w:anchor="_sec10">
        <w:r>
          <w:rPr>
            <w:rFonts w:ascii="Arial" w:cs="Arial" w:eastAsia="Arial" w:hAnsi="Arial"/>
            <w:b/>
            <w:bCs/>
            <w:color w:val="1F3A5F"/>
            <w:sz w:val="20"/>
            <w:szCs w:val="20"/>
            <w:rtl/>
          </w:rPr>
          <w:t xml:space="preserve">5. ما وُجد في الطريق</w:t>
        </w:r>
      </w:hyperlink>
    </w:p>
    <w:p>
      <w:pPr>
        <w:bidi/>
        <w:spacing w:after="50" w:before="0"/>
        <w:ind w:left="0"/>
      </w:pPr>
      <w:hyperlink w:history="1" w:anchor="_sec11">
        <w:r>
          <w:rPr>
            <w:rFonts w:ascii="Arial" w:cs="Arial" w:eastAsia="Arial" w:hAnsi="Arial"/>
            <w:b/>
            <w:bCs/>
            <w:color w:val="1F3A5F"/>
            <w:sz w:val="20"/>
            <w:szCs w:val="20"/>
            <w:rtl/>
          </w:rPr>
          <w:t xml:space="preserve">6. الاختبار</w:t>
        </w:r>
      </w:hyperlink>
    </w:p>
    <w:p>
      <w:pPr>
        <w:bidi/>
        <w:spacing w:after="50" w:before="0"/>
        <w:ind w:left="0"/>
      </w:pPr>
      <w:hyperlink w:history="1" w:anchor="_sec12">
        <w:r>
          <w:rPr>
            <w:rFonts w:ascii="Arial" w:cs="Arial" w:eastAsia="Arial" w:hAnsi="Arial"/>
            <w:b/>
            <w:bCs/>
            <w:color w:val="1F3A5F"/>
            <w:sz w:val="20"/>
            <w:szCs w:val="20"/>
            <w:rtl/>
          </w:rPr>
          <w:t xml:space="preserve">7. ما بقي خارج S1-ب</w:t>
        </w:r>
      </w:hyperlink>
    </w:p>
    <w:p>
      <w:r>
        <w:br w:type="page"/>
      </w:r>
    </w:p>
    <w:p>
      <w:pPr>
        <w:pStyle w:val="Heading1"/>
        <w:bidi/>
      </w:pPr>
      <w:bookmarkStart w:name="_sec3" w:id="3"/>
      <w:r>
        <w:rPr>
          <w:rFonts w:ascii="Arial" w:cs="Arial" w:eastAsia="Arial" w:hAnsi="Arial"/>
          <w:b/>
          <w:bCs/>
          <w:color w:val="1F3A5F"/>
          <w:sz w:val="32"/>
          <w:szCs w:val="32"/>
          <w:rtl/>
        </w:rPr>
        <w:t xml:space="preserve">3. ما يعمل الآن</w:t>
      </w:r>
      <w:bookmarkEnd w:id="3"/>
    </w:p>
    <w:p>
      <w:pPr>
        <w:pStyle w:val="Heading2"/>
        <w:bidi/>
      </w:pPr>
      <w:bookmarkStart w:name="_sec4" w:id="4"/>
      <w:r>
        <w:rPr>
          <w:rFonts w:ascii="Arial" w:cs="Arial" w:eastAsia="Arial" w:hAnsi="Arial"/>
          <w:b/>
          <w:bCs/>
          <w:color w:val="2B5C8A"/>
          <w:sz w:val="26"/>
          <w:szCs w:val="26"/>
          <w:rtl/>
        </w:rPr>
        <w:t xml:space="preserve">3.1 الأساس (S1B-A)</w:t>
      </w:r>
      <w:bookmarkEnd w:id="4"/>
    </w:p>
    <w:p>
      <w:pPr>
        <w:pStyle w:val="ListParagraph"/>
        <w:numPr>
          <w:ilvl w:val="0"/>
          <w:numId w:val="2"/>
        </w:numPr>
        <w:bidi/>
        <w:spacing w:after="70" w:before="0" w:line="300"/>
      </w:pPr>
      <w:r>
        <w:rPr>
          <w:rFonts w:ascii="Arial" w:cs="Arial" w:eastAsia="Arial" w:hAnsi="Arial"/>
          <w:b/>
          <w:bCs/>
          <w:sz w:val="21"/>
          <w:szCs w:val="21"/>
          <w:rtl/>
        </w:rPr>
        <w:t xml:space="preserve">NTF.BASE الإصدار 3.</w:t>
      </w:r>
      <w:r>
        <w:rPr>
          <w:rFonts w:ascii="Arial" w:cs="Arial" w:eastAsia="Arial" w:hAnsi="Arial"/>
          <w:b w:val="false"/>
          <w:bCs w:val="false"/>
          <w:sz w:val="21"/>
          <w:szCs w:val="21"/>
          <w:rtl/>
        </w:rPr>
        <w:t xml:space="preserve"> يحتفظ بكل صفوف الإصدار 2، ويضيف ستة أحداث: BODY.TERM_EXPIRY وGRANT.EXPIRY وOWN.TOTAL_MISMATCH وACC.SIGNATORY_EXPIRY وACC.NO_SIGNATORY وACC.GOV_CONFLICT. يستلمها مدير الخزينة TM والمسؤول المالي FO ضمن نطاق الشركة، بنصوص عربية وإنجليزية. لا يدخل مبلغ في أي نص، لأن السقوف سرّية.</w:t>
      </w:r>
    </w:p>
    <w:p>
      <w:pPr>
        <w:pStyle w:val="ListParagraph"/>
        <w:numPr>
          <w:ilvl w:val="0"/>
          <w:numId w:val="2"/>
        </w:numPr>
        <w:bidi/>
        <w:spacing w:after="70" w:before="0" w:line="300"/>
      </w:pPr>
      <w:r>
        <w:rPr>
          <w:rFonts w:ascii="Arial" w:cs="Arial" w:eastAsia="Arial" w:hAnsi="Arial"/>
          <w:b/>
          <w:bCs/>
          <w:sz w:val="21"/>
          <w:szCs w:val="21"/>
          <w:rtl/>
        </w:rPr>
        <w:t xml:space="preserve">CORE.EXPIRY الإصدار 2.</w:t>
      </w:r>
      <w:r>
        <w:rPr>
          <w:rFonts w:ascii="Arial" w:cs="Arial" w:eastAsia="Arial" w:hAnsi="Arial"/>
          <w:b w:val="false"/>
          <w:bCs w:val="false"/>
          <w:sz w:val="21"/>
          <w:szCs w:val="21"/>
          <w:rtl/>
        </w:rPr>
        <w:t xml:space="preserve"> مدد الهيئات [90، 30]، والمنح [60، 30، 7]، والمفوَّضون [30، 15، 7] بلا تذكير بعد الانتهاء (BR-ACC-017).</w:t>
      </w:r>
    </w:p>
    <w:p>
      <w:pPr>
        <w:pStyle w:val="ListParagraph"/>
        <w:numPr>
          <w:ilvl w:val="0"/>
          <w:numId w:val="2"/>
        </w:numPr>
        <w:bidi/>
        <w:spacing w:after="70" w:before="0" w:line="300"/>
      </w:pPr>
      <w:r>
        <w:rPr>
          <w:rFonts w:ascii="Arial" w:cs="Arial" w:eastAsia="Arial" w:hAnsi="Arial"/>
          <w:b/>
          <w:bCs/>
          <w:sz w:val="21"/>
          <w:szCs w:val="21"/>
          <w:rtl/>
        </w:rPr>
        <w:t xml:space="preserve">الإعداد </w:t>
      </w:r>
      <w:r>
        <w:rPr>
          <w:rFonts w:ascii="Courier New" w:cs="Courier New" w:eastAsia="Courier New" w:hAnsi="Courier New"/>
          <w:b/>
          <w:bCs/>
          <w:color w:val="1F2937"/>
          <w:sz w:val="18"/>
          <w:szCs w:val="18"/>
          <w:shd w:fill="F1F3F5" w:color="auto" w:val="clear"/>
          <w:rtl/>
        </w:rPr>
        <w:t xml:space="preserve">‎org.grant.segregation_of_duties‎</w:t>
      </w:r>
      <w:r>
        <w:rPr>
          <w:rFonts w:ascii="Arial" w:cs="Arial" w:eastAsia="Arial" w:hAnsi="Arial"/>
          <w:b w:val="false"/>
          <w:bCs w:val="false"/>
          <w:sz w:val="21"/>
          <w:szCs w:val="21"/>
          <w:rtl/>
        </w:rPr>
        <w:t xml:space="preserve">، مفعّل افتراضيًا.</w:t>
      </w:r>
    </w:p>
    <w:p>
      <w:pPr>
        <w:pStyle w:val="ListParagraph"/>
        <w:numPr>
          <w:ilvl w:val="0"/>
          <w:numId w:val="2"/>
        </w:numPr>
        <w:bidi/>
        <w:spacing w:after="70" w:before="0" w:line="300"/>
      </w:pPr>
      <w:r>
        <w:rPr>
          <w:rFonts w:ascii="Arial" w:cs="Arial" w:eastAsia="Arial" w:hAnsi="Arial"/>
          <w:b/>
          <w:bCs/>
          <w:sz w:val="21"/>
          <w:szCs w:val="21"/>
          <w:rtl/>
        </w:rPr>
        <w:t xml:space="preserve">السكربت 061.</w:t>
      </w:r>
      <w:r>
        <w:rPr>
          <w:rFonts w:ascii="Arial" w:cs="Arial" w:eastAsia="Arial" w:hAnsi="Arial"/>
          <w:b w:val="false"/>
          <w:bCs w:val="false"/>
          <w:sz w:val="21"/>
          <w:szCs w:val="21"/>
          <w:rtl/>
        </w:rPr>
        <w:t xml:space="preserve"> المنحة المسحوبة أو المستبدَلة نهائية، والمنحة النافذة تحتفظ بجوهرها (الخطأ 50175). ولا يعدّل التطبيق شروط صلاحية بنكية ولا مفاتيح تعارض في مكانها.</w:t>
      </w:r>
    </w:p>
    <w:p>
      <w:pPr>
        <w:pStyle w:val="ListParagraph"/>
        <w:numPr>
          <w:ilvl w:val="0"/>
          <w:numId w:val="2"/>
        </w:numPr>
        <w:bidi/>
        <w:spacing w:after="70" w:before="0" w:line="300"/>
      </w:pPr>
      <w:r>
        <w:rPr>
          <w:rFonts w:ascii="Arial" w:cs="Arial" w:eastAsia="Arial" w:hAnsi="Arial"/>
          <w:b/>
          <w:bCs/>
          <w:sz w:val="21"/>
          <w:szCs w:val="21"/>
          <w:rtl/>
        </w:rPr>
        <w:t xml:space="preserve">النموذج.</w:t>
      </w:r>
      <w:r>
        <w:rPr>
          <w:rFonts w:ascii="Arial" w:cs="Arial" w:eastAsia="Arial" w:hAnsi="Arial"/>
          <w:b w:val="false"/>
          <w:bCs w:val="false"/>
          <w:sz w:val="21"/>
          <w:szCs w:val="21"/>
          <w:rtl/>
        </w:rPr>
        <w:t xml:space="preserve"> أُضيف إلى </w:t>
      </w:r>
      <w:r>
        <w:rPr>
          <w:rFonts w:ascii="Courier New" w:cs="Courier New" w:eastAsia="Courier New" w:hAnsi="Courier New"/>
          <w:b w:val="false"/>
          <w:bCs w:val="false"/>
          <w:color w:val="1F2937"/>
          <w:sz w:val="18"/>
          <w:szCs w:val="18"/>
          <w:shd w:fill="F1F3F5" w:color="auto" w:val="clear"/>
          <w:rtl/>
        </w:rPr>
        <w:t xml:space="preserve">‎acc.AuthorityConflict‎</w:t>
      </w:r>
      <w:r>
        <w:rPr>
          <w:rFonts w:ascii="Arial" w:cs="Arial" w:eastAsia="Arial" w:hAnsi="Arial"/>
          <w:b w:val="false"/>
          <w:bCs w:val="false"/>
          <w:sz w:val="21"/>
          <w:szCs w:val="21"/>
          <w:rtl/>
        </w:rPr>
        <w:t xml:space="preserve"> العمودان </w:t>
      </w:r>
      <w:r>
        <w:rPr>
          <w:rFonts w:ascii="Courier New" w:cs="Courier New" w:eastAsia="Courier New" w:hAnsi="Courier New"/>
          <w:b w:val="false"/>
          <w:bCs w:val="false"/>
          <w:color w:val="1F2937"/>
          <w:sz w:val="18"/>
          <w:szCs w:val="18"/>
          <w:shd w:fill="F1F3F5" w:color="auto" w:val="clear"/>
          <w:rtl/>
        </w:rPr>
        <w:t xml:space="preserve">‎AuthorityGrantId‎</w:t>
      </w:r>
      <w:r>
        <w:rPr>
          <w:rFonts w:ascii="Arial" w:cs="Arial" w:eastAsia="Arial" w:hAnsi="Arial"/>
          <w:b w:val="false"/>
          <w:bCs w:val="false"/>
          <w:sz w:val="21"/>
          <w:szCs w:val="21"/>
          <w:rtl/>
        </w:rPr>
        <w:t xml:space="preserve"> و</w:t>
      </w:r>
      <w:r>
        <w:rPr>
          <w:rFonts w:ascii="Courier New" w:cs="Courier New" w:eastAsia="Courier New" w:hAnsi="Courier New"/>
          <w:b w:val="false"/>
          <w:bCs w:val="false"/>
          <w:color w:val="1F2937"/>
          <w:sz w:val="18"/>
          <w:szCs w:val="18"/>
          <w:shd w:fill="F1F3F5" w:color="auto" w:val="clear"/>
          <w:rtl/>
        </w:rPr>
        <w:t xml:space="preserve">‎ResolvedOn‎</w:t>
      </w:r>
      <w:r>
        <w:rPr>
          <w:rFonts w:ascii="Arial" w:cs="Arial" w:eastAsia="Arial" w:hAnsi="Arial"/>
          <w:b w:val="false"/>
          <w:bCs w:val="false"/>
          <w:sz w:val="21"/>
          <w:szCs w:val="21"/>
          <w:rtl/>
        </w:rPr>
        <w:t xml:space="preserve">، مع قيد يربط الحالة RESOLVED بوقت الحل (S1B-GAP-13). لا قاعدة منشورة بعد، فعُدّل خط الأساس بلا ترحيل، كما في S1-C.</w:t>
      </w:r>
    </w:p>
    <w:p>
      <w:pPr>
        <w:pStyle w:val="ListParagraph"/>
        <w:numPr>
          <w:ilvl w:val="0"/>
          <w:numId w:val="2"/>
        </w:numPr>
        <w:bidi/>
        <w:spacing w:after="70" w:before="0" w:line="300"/>
      </w:pPr>
      <w:r>
        <w:rPr>
          <w:rFonts w:ascii="Arial" w:cs="Arial" w:eastAsia="Arial" w:hAnsi="Arial"/>
          <w:b/>
          <w:bCs/>
          <w:sz w:val="21"/>
          <w:szCs w:val="21"/>
          <w:rtl/>
        </w:rPr>
        <w:t xml:space="preserve">مهمة الانتهاء</w:t>
      </w:r>
      <w:r>
        <w:rPr>
          <w:rFonts w:ascii="Arial" w:cs="Arial" w:eastAsia="Arial" w:hAnsi="Arial"/>
          <w:b w:val="false"/>
          <w:bCs w:val="false"/>
          <w:sz w:val="21"/>
          <w:szCs w:val="21"/>
          <w:rtl/>
        </w:rPr>
        <w:t xml:space="preserve"> صارت سجلًّا من المزوّدين، لكل نوع بند مزوّده، دون تغيير في سلوك S1.</w:t>
      </w:r>
    </w:p>
    <w:p>
      <w:pPr>
        <w:pStyle w:val="ListParagraph"/>
        <w:numPr>
          <w:ilvl w:val="0"/>
          <w:numId w:val="2"/>
        </w:numPr>
        <w:bidi/>
        <w:spacing w:after="70" w:before="0" w:line="300"/>
      </w:pPr>
      <w:r>
        <w:rPr>
          <w:rFonts w:ascii="Arial" w:cs="Arial" w:eastAsia="Arial" w:hAnsi="Arial"/>
          <w:b/>
          <w:bCs/>
          <w:sz w:val="21"/>
          <w:szCs w:val="21"/>
          <w:rtl/>
        </w:rPr>
        <w:t xml:space="preserve">دمج الأطراف</w:t>
      </w:r>
      <w:r>
        <w:rPr>
          <w:rFonts w:ascii="Arial" w:cs="Arial" w:eastAsia="Arial" w:hAnsi="Arial"/>
          <w:b w:val="false"/>
          <w:bCs w:val="false"/>
          <w:sz w:val="21"/>
          <w:szCs w:val="21"/>
          <w:rtl/>
        </w:rPr>
        <w:t xml:space="preserve"> يرفض ما يتصادم (V-PTY-MERGE-COLLISION): حصتان للشخصين في الشركة نفسها، أو عضويتان في المنصب نفسه، أو تفويضان في الفئة نفسها.</w:t>
      </w:r>
    </w:p>
    <w:p>
      <w:pPr>
        <w:pStyle w:val="ListParagraph"/>
        <w:numPr>
          <w:ilvl w:val="0"/>
          <w:numId w:val="2"/>
        </w:numPr>
        <w:bidi/>
        <w:spacing w:after="70" w:before="0" w:line="300"/>
      </w:pPr>
      <w:r>
        <w:rPr>
          <w:rFonts w:ascii="Arial" w:cs="Arial" w:eastAsia="Arial" w:hAnsi="Arial"/>
          <w:b/>
          <w:bCs/>
          <w:sz w:val="21"/>
          <w:szCs w:val="21"/>
          <w:rtl/>
        </w:rPr>
        <w:t xml:space="preserve">الاستخدام النشط.</w:t>
      </w:r>
      <w:r>
        <w:rPr>
          <w:rFonts w:ascii="Arial" w:cs="Arial" w:eastAsia="Arial" w:hAnsi="Arial"/>
          <w:b w:val="false"/>
          <w:bCs w:val="false"/>
          <w:sz w:val="21"/>
          <w:szCs w:val="21"/>
          <w:rtl/>
        </w:rPr>
        <w:t xml:space="preserve"> شارة الطرف تعرض العدد الكلي والنشط، والتعطيل يمنعه الاستخدام النشط وحده (S1B-GAP-17).</w:t>
      </w:r>
    </w:p>
    <w:p>
      <w:pPr>
        <w:pStyle w:val="ListParagraph"/>
        <w:numPr>
          <w:ilvl w:val="0"/>
          <w:numId w:val="2"/>
        </w:numPr>
        <w:bidi/>
        <w:spacing w:after="70" w:before="0" w:line="300"/>
      </w:pPr>
      <w:r>
        <w:rPr>
          <w:rFonts w:ascii="Arial" w:cs="Arial" w:eastAsia="Arial" w:hAnsi="Arial"/>
          <w:b/>
          <w:bCs/>
          <w:sz w:val="21"/>
          <w:szCs w:val="21"/>
          <w:rtl/>
        </w:rPr>
        <w:t xml:space="preserve">المستند المستخدَم.</w:t>
      </w:r>
      <w:r>
        <w:rPr>
          <w:rFonts w:ascii="Arial" w:cs="Arial" w:eastAsia="Arial" w:hAnsi="Arial"/>
          <w:b w:val="false"/>
          <w:bCs w:val="false"/>
          <w:sz w:val="21"/>
          <w:szCs w:val="21"/>
          <w:rtl/>
        </w:rPr>
        <w:t xml:space="preserve"> لا يُحذف مستند هو مصدر منحة أو مفوَّض أو حصة أو هيئة أو عضوية أو صلاحية سارية (DOCUMENT_IN_USE).</w:t>
      </w:r>
    </w:p>
    <w:p>
      <w:pPr>
        <w:pStyle w:val="ListParagraph"/>
        <w:numPr>
          <w:ilvl w:val="0"/>
          <w:numId w:val="2"/>
        </w:numPr>
        <w:bidi/>
        <w:spacing w:after="70" w:before="0" w:line="300"/>
      </w:pPr>
      <w:r>
        <w:rPr>
          <w:rFonts w:ascii="Arial" w:cs="Arial" w:eastAsia="Arial" w:hAnsi="Arial"/>
          <w:b/>
          <w:bCs/>
          <w:sz w:val="21"/>
          <w:szCs w:val="21"/>
          <w:rtl/>
        </w:rPr>
        <w:t xml:space="preserve">الوحدة INSTITUTIONS</w:t>
      </w:r>
      <w:r>
        <w:rPr>
          <w:rFonts w:ascii="Arial" w:cs="Arial" w:eastAsia="Arial" w:hAnsi="Arial"/>
          <w:b w:val="false"/>
          <w:bCs w:val="false"/>
          <w:sz w:val="21"/>
          <w:szCs w:val="21"/>
          <w:rtl/>
        </w:rPr>
        <w:t xml:space="preserve"> يتحقق منها الخادم أيضًا (MODULE_DISABLED).</w:t>
      </w:r>
    </w:p>
    <w:p>
      <w:pPr>
        <w:bidi/>
        <w:spacing w:after="60" w:before="0"/>
      </w:pPr>
    </w:p>
    <w:p>
      <w:pPr>
        <w:pStyle w:val="Heading2"/>
        <w:bidi/>
      </w:pPr>
      <w:bookmarkStart w:name="_sec5" w:id="5"/>
      <w:r>
        <w:rPr>
          <w:rFonts w:ascii="Arial" w:cs="Arial" w:eastAsia="Arial" w:hAnsi="Arial"/>
          <w:b/>
          <w:bCs/>
          <w:color w:val="2B5C8A"/>
          <w:sz w:val="26"/>
          <w:szCs w:val="26"/>
          <w:rtl/>
        </w:rPr>
        <w:t xml:space="preserve">3.2 الملكية (S1B-B)</w:t>
      </w:r>
      <w:bookmarkEnd w:id="5"/>
    </w:p>
    <w:p>
      <w:pPr>
        <w:pStyle w:val="ListParagraph"/>
        <w:numPr>
          <w:ilvl w:val="0"/>
          <w:numId w:val="2"/>
        </w:numPr>
        <w:bidi/>
        <w:spacing w:after="70" w:before="0" w:line="300"/>
      </w:pPr>
      <w:r>
        <w:rPr>
          <w:rFonts w:ascii="Arial" w:cs="Arial" w:eastAsia="Arial" w:hAnsi="Arial"/>
          <w:b w:val="false"/>
          <w:bCs w:val="false"/>
          <w:sz w:val="21"/>
          <w:szCs w:val="21"/>
          <w:rtl/>
        </w:rPr>
        <w:t xml:space="preserve">معالج التغيير يكتب التوزيع كله من تاريخ في معاملة واحدة. يغلق الصفوف السارية في اليوم السابق ويفتح الجديدة.</w:t>
      </w:r>
    </w:p>
    <w:p>
      <w:pPr>
        <w:pStyle w:val="ListParagraph"/>
        <w:numPr>
          <w:ilvl w:val="0"/>
          <w:numId w:val="2"/>
        </w:numPr>
        <w:bidi/>
        <w:spacing w:after="70" w:before="0" w:line="300"/>
      </w:pPr>
      <w:r>
        <w:rPr>
          <w:rFonts w:ascii="Arial" w:cs="Arial" w:eastAsia="Arial" w:hAnsi="Arial"/>
          <w:b w:val="false"/>
          <w:bCs w:val="false"/>
          <w:sz w:val="21"/>
          <w:szCs w:val="21"/>
          <w:rtl/>
        </w:rPr>
        <w:t xml:space="preserve">يُرفض كل مجموع غير 100.000000 مع ذكر الفرق: «المجموع 98% والفرق 2%» (AC-ORG-1).</w:t>
      </w:r>
    </w:p>
    <w:p>
      <w:pPr>
        <w:pStyle w:val="ListParagraph"/>
        <w:numPr>
          <w:ilvl w:val="0"/>
          <w:numId w:val="2"/>
        </w:numPr>
        <w:bidi/>
        <w:spacing w:after="70" w:before="0" w:line="300"/>
      </w:pPr>
      <w:r>
        <w:rPr>
          <w:rFonts w:ascii="Arial" w:cs="Arial" w:eastAsia="Arial" w:hAnsi="Arial"/>
          <w:b w:val="false"/>
          <w:bCs w:val="false"/>
          <w:sz w:val="21"/>
          <w:szCs w:val="21"/>
          <w:rtl/>
        </w:rPr>
        <w:t xml:space="preserve">إن أُدخلت الأسهم وحدها حُسبت النسب بست خانات، والباقي على الأكبر.</w:t>
      </w:r>
    </w:p>
    <w:p>
      <w:pPr>
        <w:pStyle w:val="ListParagraph"/>
        <w:numPr>
          <w:ilvl w:val="0"/>
          <w:numId w:val="2"/>
        </w:numPr>
        <w:bidi/>
        <w:spacing w:after="70" w:before="0" w:line="300"/>
      </w:pPr>
      <w:r>
        <w:rPr>
          <w:rFonts w:ascii="Arial" w:cs="Arial" w:eastAsia="Arial" w:hAnsi="Arial"/>
          <w:b w:val="false"/>
          <w:bCs w:val="false"/>
          <w:sz w:val="21"/>
          <w:szCs w:val="21"/>
          <w:rtl/>
        </w:rPr>
        <w:t xml:space="preserve">التاريخ السابق لآخر تغيير تصحيح رجعي: يحتاج وسمًا وسببًا، ويُدقَّق بشدة عالية، ويملأ فترته وحدها دون أن يمسّ التغييرات اللاحقة.</w:t>
      </w:r>
    </w:p>
    <w:p>
      <w:pPr>
        <w:pStyle w:val="ListParagraph"/>
        <w:numPr>
          <w:ilvl w:val="0"/>
          <w:numId w:val="2"/>
        </w:numPr>
        <w:bidi/>
        <w:spacing w:after="70" w:before="0" w:line="300"/>
      </w:pPr>
      <w:r>
        <w:rPr>
          <w:rFonts w:ascii="Arial" w:cs="Arial" w:eastAsia="Arial" w:hAnsi="Arial"/>
          <w:b w:val="false"/>
          <w:bCs w:val="false"/>
          <w:sz w:val="21"/>
          <w:szCs w:val="21"/>
          <w:rtl/>
        </w:rPr>
        <w:t xml:space="preserve">الملكية الفعلية تتبع شركات المشترك عبر جهاتها المرآة، وتضيف المسارات غير المباشرة، وتنبّه إلى الدورة ولا تتبعها. مثال BR-ORG-008 يعطي 40%.</w:t>
      </w:r>
    </w:p>
    <w:p>
      <w:pPr>
        <w:pStyle w:val="ListParagraph"/>
        <w:numPr>
          <w:ilvl w:val="0"/>
          <w:numId w:val="2"/>
        </w:numPr>
        <w:bidi/>
        <w:spacing w:after="70" w:before="0" w:line="300"/>
      </w:pPr>
      <w:r>
        <w:rPr>
          <w:rFonts w:ascii="Arial" w:cs="Arial" w:eastAsia="Arial" w:hAnsi="Arial"/>
          <w:b w:val="false"/>
          <w:bCs w:val="false"/>
          <w:sz w:val="21"/>
          <w:szCs w:val="21"/>
          <w:rtl/>
        </w:rPr>
        <w:t xml:space="preserve">يقترح المستفيد الحقيقي عند 25% فأكثر، ولا يضعه آليًا (OQ-18).</w:t>
      </w:r>
    </w:p>
    <w:p>
      <w:pPr>
        <w:pStyle w:val="ListParagraph"/>
        <w:numPr>
          <w:ilvl w:val="0"/>
          <w:numId w:val="2"/>
        </w:numPr>
        <w:bidi/>
        <w:spacing w:after="70" w:before="0" w:line="300"/>
      </w:pPr>
      <w:r>
        <w:rPr>
          <w:rFonts w:ascii="Arial" w:cs="Arial" w:eastAsia="Arial" w:hAnsi="Arial"/>
          <w:b w:val="false"/>
          <w:bCs w:val="false"/>
          <w:sz w:val="21"/>
          <w:szCs w:val="21"/>
          <w:rtl/>
        </w:rPr>
        <w:t xml:space="preserve">تقرير الشركات المخالفة، وإشعار OWN.TOTAL_MISMATCH عند الحفظ وفي الفحص اليومي.</w:t>
      </w:r>
    </w:p>
    <w:p>
      <w:pPr>
        <w:pStyle w:val="ListParagraph"/>
        <w:numPr>
          <w:ilvl w:val="0"/>
          <w:numId w:val="2"/>
        </w:numPr>
        <w:bidi/>
        <w:spacing w:after="70" w:before="0" w:line="300"/>
      </w:pPr>
      <w:r>
        <w:rPr>
          <w:rFonts w:ascii="Arial" w:cs="Arial" w:eastAsia="Arial" w:hAnsi="Arial"/>
          <w:b w:val="false"/>
          <w:bCs w:val="false"/>
          <w:sz w:val="21"/>
          <w:szCs w:val="21"/>
          <w:rtl/>
        </w:rPr>
        <w:t xml:space="preserve">الشاشة: تبويب الملكية والمعالج، وعمود حالة الملكية في قائمة الشركات.</w:t>
      </w:r>
    </w:p>
    <w:p>
      <w:pPr>
        <w:bidi/>
        <w:spacing w:after="60" w:before="0"/>
      </w:pPr>
    </w:p>
    <w:p>
      <w:pPr>
        <w:pStyle w:val="Heading2"/>
        <w:bidi/>
      </w:pPr>
      <w:bookmarkStart w:name="_sec6" w:id="6"/>
      <w:r>
        <w:rPr>
          <w:rFonts w:ascii="Arial" w:cs="Arial" w:eastAsia="Arial" w:hAnsi="Arial"/>
          <w:b/>
          <w:bCs/>
          <w:color w:val="2B5C8A"/>
          <w:sz w:val="26"/>
          <w:szCs w:val="26"/>
          <w:rtl/>
        </w:rPr>
        <w:t xml:space="preserve">3.3 الحوكمة والمنح (S1B-C)</w:t>
      </w:r>
      <w:bookmarkEnd w:id="6"/>
    </w:p>
    <w:p>
      <w:pPr>
        <w:pStyle w:val="ListParagraph"/>
        <w:numPr>
          <w:ilvl w:val="0"/>
          <w:numId w:val="2"/>
        </w:numPr>
        <w:bidi/>
        <w:spacing w:after="70" w:before="0" w:line="300"/>
      </w:pPr>
      <w:r>
        <w:rPr>
          <w:rFonts w:ascii="Arial" w:cs="Arial" w:eastAsia="Arial" w:hAnsi="Arial"/>
          <w:b w:val="false"/>
          <w:bCs w:val="false"/>
          <w:sz w:val="21"/>
          <w:szCs w:val="21"/>
          <w:rtl/>
        </w:rPr>
        <w:t xml:space="preserve">هيئة فعّالة واحدة لكل نوع. الاستبدال يغلق السابقة ويُنهي مدد أعضائها في اليوم السابق، ويمكن نقل أعضائها إلى الجديدة (OQ-4).</w:t>
      </w:r>
    </w:p>
    <w:p>
      <w:pPr>
        <w:pStyle w:val="ListParagraph"/>
        <w:numPr>
          <w:ilvl w:val="0"/>
          <w:numId w:val="2"/>
        </w:numPr>
        <w:bidi/>
        <w:spacing w:after="70" w:before="0" w:line="300"/>
      </w:pPr>
      <w:r>
        <w:rPr>
          <w:rFonts w:ascii="Arial" w:cs="Arial" w:eastAsia="Arial" w:hAnsi="Arial"/>
          <w:b w:val="false"/>
          <w:bCs w:val="false"/>
          <w:sz w:val="21"/>
          <w:szCs w:val="21"/>
          <w:rtl/>
        </w:rPr>
        <w:t xml:space="preserve">مدة العضو داخل مدة الهيئة، والمنصب يصحّ في نوع الهيئة. والمنصب أحادي الشاغل يسلّم في اليوم السابق: رئيس جديد من 2027-03-01 يُنهي مدة السابق في 2027-02-28.</w:t>
      </w:r>
    </w:p>
    <w:p>
      <w:pPr>
        <w:pStyle w:val="ListParagraph"/>
        <w:numPr>
          <w:ilvl w:val="0"/>
          <w:numId w:val="2"/>
        </w:numPr>
        <w:bidi/>
        <w:spacing w:after="70" w:before="0" w:line="300"/>
      </w:pPr>
      <w:r>
        <w:rPr>
          <w:rFonts w:ascii="Arial" w:cs="Arial" w:eastAsia="Arial" w:hAnsi="Arial"/>
          <w:b w:val="false"/>
          <w:bCs w:val="false"/>
          <w:sz w:val="21"/>
          <w:szCs w:val="21"/>
          <w:rtl/>
        </w:rPr>
        <w:t xml:space="preserve">المنح: مسودة، ثم انتظار الموافقة، ثم نافذة بموافقة مستخدم آخر. وبلا فصل المهام تُفعَّل المسودة مباشرة ويُسجَّل المفعِّل.</w:t>
      </w:r>
    </w:p>
    <w:p>
      <w:pPr>
        <w:pStyle w:val="ListParagraph"/>
        <w:numPr>
          <w:ilvl w:val="0"/>
          <w:numId w:val="2"/>
        </w:numPr>
        <w:bidi/>
        <w:spacing w:after="70" w:before="0" w:line="300"/>
      </w:pPr>
      <w:r>
        <w:rPr>
          <w:rFonts w:ascii="Arial" w:cs="Arial" w:eastAsia="Arial" w:hAnsi="Arial"/>
          <w:b w:val="false"/>
          <w:bCs w:val="false"/>
          <w:sz w:val="21"/>
          <w:szCs w:val="21"/>
          <w:rtl/>
        </w:rPr>
        <w:t xml:space="preserve">المنحة بلا مستند مصدر تحتاج استثناءً موثقًا يوافق عليه مدير خزينة غير المنشئ (OQ-15).</w:t>
      </w:r>
    </w:p>
    <w:p>
      <w:pPr>
        <w:pStyle w:val="ListParagraph"/>
        <w:numPr>
          <w:ilvl w:val="0"/>
          <w:numId w:val="2"/>
        </w:numPr>
        <w:bidi/>
        <w:spacing w:after="70" w:before="0" w:line="300"/>
      </w:pPr>
      <w:r>
        <w:rPr>
          <w:rFonts w:ascii="Arial" w:cs="Arial" w:eastAsia="Arial" w:hAnsi="Arial"/>
          <w:b w:val="false"/>
          <w:bCs w:val="false"/>
          <w:sz w:val="21"/>
          <w:szCs w:val="21"/>
          <w:rtl/>
        </w:rPr>
        <w:t xml:space="preserve">التغيير الجوهري لمنحة نافذة منحة جديدة تحل محلها عند الموافقة، ومنه تغيير البنك (OQ-6).</w:t>
      </w:r>
    </w:p>
    <w:p>
      <w:pPr>
        <w:pStyle w:val="ListParagraph"/>
        <w:numPr>
          <w:ilvl w:val="0"/>
          <w:numId w:val="2"/>
        </w:numPr>
        <w:bidi/>
        <w:spacing w:after="70" w:before="0" w:line="300"/>
      </w:pPr>
      <w:r>
        <w:rPr>
          <w:rFonts w:ascii="Arial" w:cs="Arial" w:eastAsia="Arial" w:hAnsi="Arial"/>
          <w:b w:val="false"/>
          <w:bCs w:val="false"/>
          <w:sz w:val="21"/>
          <w:szCs w:val="21"/>
          <w:rtl/>
        </w:rPr>
        <w:t xml:space="preserve">استعلام الصلاحية (AC-ORG-2): المنفردة أولًا ثم المشتركة بشرطها، والعملة المختلفة «تحتاج مراجعة يدوية»، والسقوف المشتركة لا تُجمع.</w:t>
      </w:r>
    </w:p>
    <w:p>
      <w:pPr>
        <w:pStyle w:val="ListParagraph"/>
        <w:numPr>
          <w:ilvl w:val="0"/>
          <w:numId w:val="2"/>
        </w:numPr>
        <w:bidi/>
        <w:spacing w:after="70" w:before="0" w:line="300"/>
      </w:pPr>
      <w:r>
        <w:rPr>
          <w:rFonts w:ascii="Arial" w:cs="Arial" w:eastAsia="Arial" w:hAnsi="Arial"/>
          <w:b w:val="false"/>
          <w:bCs w:val="false"/>
          <w:sz w:val="21"/>
          <w:szCs w:val="21"/>
          <w:rtl/>
        </w:rPr>
        <w:t xml:space="preserve">الاستعلام بالحامل، ومصفوفة الصلاحيات بتاريخ، وتقرير تكامل الهيكل بستة بنود.</w:t>
      </w:r>
    </w:p>
    <w:p>
      <w:pPr>
        <w:pStyle w:val="ListParagraph"/>
        <w:numPr>
          <w:ilvl w:val="0"/>
          <w:numId w:val="2"/>
        </w:numPr>
        <w:bidi/>
        <w:spacing w:after="70" w:before="0" w:line="300"/>
      </w:pPr>
      <w:r>
        <w:rPr>
          <w:rFonts w:ascii="Arial" w:cs="Arial" w:eastAsia="Arial" w:hAnsi="Arial"/>
          <w:b w:val="false"/>
          <w:bCs w:val="false"/>
          <w:sz w:val="21"/>
          <w:szCs w:val="21"/>
          <w:rtl/>
        </w:rPr>
        <w:t xml:space="preserve">تنبيهات انتهاء مدد الهيئات والأعضاء والمنح، وتنبيه يومي لمرة واحدة لشغور منصب أحادي الشاغل (OQ-3) ولمنحة من غادر منصبه.</w:t>
      </w:r>
    </w:p>
    <w:p>
      <w:pPr>
        <w:bidi/>
        <w:spacing w:after="60" w:before="0"/>
      </w:pPr>
    </w:p>
    <w:p>
      <w:pPr>
        <w:pStyle w:val="Heading2"/>
        <w:bidi/>
      </w:pPr>
      <w:bookmarkStart w:name="_sec7" w:id="7"/>
      <w:r>
        <w:rPr>
          <w:rFonts w:ascii="Arial" w:cs="Arial" w:eastAsia="Arial" w:hAnsi="Arial"/>
          <w:b/>
          <w:bCs/>
          <w:color w:val="2B5C8A"/>
          <w:sz w:val="26"/>
          <w:szCs w:val="26"/>
          <w:rtl/>
        </w:rPr>
        <w:t xml:space="preserve">3.4 المفوَّضون (S1B-D)</w:t>
      </w:r>
      <w:bookmarkEnd w:id="7"/>
    </w:p>
    <w:p>
      <w:pPr>
        <w:pStyle w:val="ListParagraph"/>
        <w:numPr>
          <w:ilvl w:val="0"/>
          <w:numId w:val="2"/>
        </w:numPr>
        <w:bidi/>
        <w:spacing w:after="70" w:before="0" w:line="300"/>
      </w:pPr>
      <w:r>
        <w:rPr>
          <w:rFonts w:ascii="Arial" w:cs="Arial" w:eastAsia="Arial" w:hAnsi="Arial"/>
          <w:b w:val="false"/>
          <w:bCs w:val="false"/>
          <w:sz w:val="21"/>
          <w:szCs w:val="21"/>
          <w:rtl/>
        </w:rPr>
        <w:t xml:space="preserve">المفوَّض شخص طبيعي في علاقة نشطة، وصف مفتوح واحد لكل شخص وفئة.</w:t>
      </w:r>
    </w:p>
    <w:p>
      <w:pPr>
        <w:pStyle w:val="ListParagraph"/>
        <w:numPr>
          <w:ilvl w:val="0"/>
          <w:numId w:val="2"/>
        </w:numPr>
        <w:bidi/>
        <w:spacing w:after="70" w:before="0" w:line="300"/>
      </w:pPr>
      <w:r>
        <w:rPr>
          <w:rFonts w:ascii="Arial" w:cs="Arial" w:eastAsia="Arial" w:hAnsi="Arial"/>
          <w:b w:val="false"/>
          <w:bCs w:val="false"/>
          <w:sz w:val="21"/>
          <w:szCs w:val="21"/>
          <w:rtl/>
        </w:rPr>
        <w:t xml:space="preserve">يبقى PENDING حتى تُرفق وثيقة تفويض نظيفة من نوع يفوِّض ويحلّ تاريخ بدئه، ثم يصبح ACTIVE (OQ-14).</w:t>
      </w:r>
    </w:p>
    <w:p>
      <w:pPr>
        <w:pStyle w:val="ListParagraph"/>
        <w:numPr>
          <w:ilvl w:val="0"/>
          <w:numId w:val="2"/>
        </w:numPr>
        <w:bidi/>
        <w:spacing w:after="70" w:before="0" w:line="300"/>
      </w:pPr>
      <w:r>
        <w:rPr>
          <w:rFonts w:ascii="Arial" w:cs="Arial" w:eastAsia="Arial" w:hAnsi="Arial"/>
          <w:b w:val="false"/>
          <w:bCs w:val="false"/>
          <w:sz w:val="21"/>
          <w:szCs w:val="21"/>
          <w:rtl/>
        </w:rPr>
        <w:t xml:space="preserve">الإيقاف والاستئناف والسحب، والتجديد صف جديد ينسخ الصلاحيات المفتوحة وفئات التوقيع المشترك.</w:t>
      </w:r>
    </w:p>
    <w:p>
      <w:pPr>
        <w:pStyle w:val="ListParagraph"/>
        <w:numPr>
          <w:ilvl w:val="0"/>
          <w:numId w:val="2"/>
        </w:numPr>
        <w:bidi/>
        <w:spacing w:after="70" w:before="0" w:line="300"/>
      </w:pPr>
      <w:r>
        <w:rPr>
          <w:rFonts w:ascii="Arial" w:cs="Arial" w:eastAsia="Arial" w:hAnsi="Arial"/>
          <w:b w:val="false"/>
          <w:bCs w:val="false"/>
          <w:sz w:val="21"/>
          <w:szCs w:val="21"/>
          <w:rtl/>
        </w:rPr>
        <w:t xml:space="preserve">الصلاحية على البنك أو على حساب من العلاقة. لا تُعدَّل في مكانها: التغيير يغلق القديمة في اليوم السابق ويفتح الجديدة.</w:t>
      </w:r>
    </w:p>
    <w:p>
      <w:pPr>
        <w:pStyle w:val="ListParagraph"/>
        <w:numPr>
          <w:ilvl w:val="0"/>
          <w:numId w:val="2"/>
        </w:numPr>
        <w:bidi/>
        <w:spacing w:after="70" w:before="0" w:line="300"/>
      </w:pPr>
      <w:r>
        <w:rPr>
          <w:rFonts w:ascii="Arial" w:cs="Arial" w:eastAsia="Arial" w:hAnsi="Arial"/>
          <w:b w:val="false"/>
          <w:bCs w:val="false"/>
          <w:sz w:val="21"/>
          <w:szCs w:val="21"/>
          <w:rtl/>
        </w:rPr>
        <w:t xml:space="preserve">SVC-03: صف الحساب، ثم صف الحساب الرئيسي، ثم صف البنك (AC-ACC-2: 250,000 على X، و1,000,000 على Y، و250,000 على V بالمستوى MASTER).</w:t>
      </w:r>
    </w:p>
    <w:p>
      <w:pPr>
        <w:pStyle w:val="ListParagraph"/>
        <w:numPr>
          <w:ilvl w:val="0"/>
          <w:numId w:val="2"/>
        </w:numPr>
        <w:bidi/>
        <w:spacing w:after="70" w:before="0" w:line="300"/>
      </w:pPr>
      <w:r>
        <w:rPr>
          <w:rFonts w:ascii="Arial" w:cs="Arial" w:eastAsia="Arial" w:hAnsi="Arial"/>
          <w:b w:val="false"/>
          <w:bCs w:val="false"/>
          <w:sz w:val="21"/>
          <w:szCs w:val="21"/>
          <w:rtl/>
        </w:rPr>
        <w:t xml:space="preserve">تنبيهات الانتهاء لأبكر تاريخ من نهاية التفويض وصلاحياته ووثيقته، و«ينتهي اليوم» في يوم الانتهاء. وفي اليوم التالي تجعله JOB-ACC-EXPIRY منتهيًا، وتُشعر بالحساب الذي بقي بلا مفوَّض (AC-ACC-4).</w:t>
      </w:r>
    </w:p>
    <w:p>
      <w:pPr>
        <w:pStyle w:val="ListParagraph"/>
        <w:numPr>
          <w:ilvl w:val="0"/>
          <w:numId w:val="2"/>
        </w:numPr>
        <w:bidi/>
        <w:spacing w:after="70" w:before="0" w:line="300"/>
      </w:pPr>
      <w:r>
        <w:rPr>
          <w:rFonts w:ascii="Arial" w:cs="Arial" w:eastAsia="Arial" w:hAnsi="Arial"/>
          <w:b w:val="false"/>
          <w:bCs w:val="false"/>
          <w:sz w:val="21"/>
          <w:szCs w:val="21"/>
          <w:rtl/>
        </w:rPr>
        <w:t xml:space="preserve">نموذج التوقيع صورة مقيّدة: لا يرى معرّفها ولا يفتحها إلا TM وFO، ويُسجَّل كل فتح وكل رفض (AC-ACC-6).</w:t>
      </w:r>
    </w:p>
    <w:p>
      <w:pPr>
        <w:pStyle w:val="ListParagraph"/>
        <w:numPr>
          <w:ilvl w:val="0"/>
          <w:numId w:val="2"/>
        </w:numPr>
        <w:bidi/>
        <w:spacing w:after="70" w:before="0" w:line="300"/>
      </w:pPr>
      <w:r>
        <w:rPr>
          <w:rFonts w:ascii="Arial" w:cs="Arial" w:eastAsia="Arial" w:hAnsi="Arial"/>
          <w:b w:val="false"/>
          <w:bCs w:val="false"/>
          <w:sz w:val="21"/>
          <w:szCs w:val="21"/>
          <w:rtl/>
        </w:rPr>
        <w:t xml:space="preserve">إغلاق علاقة بها مفوَّضون ساريون يطلب التأكيد ثم يسحبهم (OQ-16).</w:t>
      </w:r>
    </w:p>
    <w:p>
      <w:pPr>
        <w:pStyle w:val="ListParagraph"/>
        <w:numPr>
          <w:ilvl w:val="0"/>
          <w:numId w:val="2"/>
        </w:numPr>
        <w:bidi/>
        <w:spacing w:after="70" w:before="0" w:line="300"/>
      </w:pPr>
      <w:r>
        <w:rPr>
          <w:rFonts w:ascii="Arial" w:cs="Arial" w:eastAsia="Arial" w:hAnsi="Arial"/>
          <w:b w:val="false"/>
          <w:bCs w:val="false"/>
          <w:sz w:val="21"/>
          <w:szCs w:val="21"/>
          <w:rtl/>
        </w:rPr>
        <w:t xml:space="preserve">تقريرا الحسابات بلا مفوَّض (R-ACC-05) والانتهاءات القادمة خلال 90 يومًا (R-ACC-06).</w:t>
      </w:r>
    </w:p>
    <w:p>
      <w:pPr>
        <w:bidi/>
        <w:spacing w:after="60" w:before="0"/>
      </w:pPr>
    </w:p>
    <w:p>
      <w:pPr>
        <w:pStyle w:val="Heading2"/>
        <w:bidi/>
      </w:pPr>
      <w:bookmarkStart w:name="_sec8" w:id="8"/>
      <w:r>
        <w:rPr>
          <w:rFonts w:ascii="Arial" w:cs="Arial" w:eastAsia="Arial" w:hAnsi="Arial"/>
          <w:b/>
          <w:bCs/>
          <w:color w:val="2B5C8A"/>
          <w:sz w:val="26"/>
          <w:szCs w:val="26"/>
          <w:rtl/>
        </w:rPr>
        <w:t xml:space="preserve">3.5 مقارنة الحوكمة (S1B-E)</w:t>
      </w:r>
      <w:bookmarkEnd w:id="8"/>
    </w:p>
    <w:p>
      <w:pPr>
        <w:pStyle w:val="ListParagraph"/>
        <w:numPr>
          <w:ilvl w:val="0"/>
          <w:numId w:val="2"/>
        </w:numPr>
        <w:bidi/>
        <w:spacing w:after="70" w:before="0" w:line="300"/>
      </w:pPr>
      <w:r>
        <w:rPr>
          <w:rFonts w:ascii="Arial" w:cs="Arial" w:eastAsia="Arial" w:hAnsi="Arial"/>
          <w:b w:val="false"/>
          <w:bCs w:val="false"/>
          <w:sz w:val="21"/>
          <w:szCs w:val="21"/>
          <w:rtl/>
        </w:rPr>
        <w:t xml:space="preserve">تُقارن كل صلاحية بنكية مفتوحة بمنح الحوكمة النافذة للشخص نفسه، منفردًا أو عضوًا أو ممثلًا لعضو اعتباري، لنوع صلاحية مربوط بالعملية، غير مقيّدة أو مقيّدة بالبنك نفسه. منحة الهيئة لا تُنسب لشخص.</w:t>
      </w:r>
    </w:p>
    <w:p>
      <w:pPr>
        <w:pStyle w:val="ListParagraph"/>
        <w:numPr>
          <w:ilvl w:val="0"/>
          <w:numId w:val="2"/>
        </w:numPr>
        <w:bidi/>
        <w:spacing w:after="70" w:before="0" w:line="300"/>
      </w:pPr>
      <w:r>
        <w:rPr>
          <w:rFonts w:ascii="Arial" w:cs="Arial" w:eastAsia="Arial" w:hAnsi="Arial"/>
          <w:b w:val="false"/>
          <w:bCs w:val="false"/>
          <w:sz w:val="21"/>
          <w:szCs w:val="21"/>
          <w:rtl/>
        </w:rPr>
        <w:t xml:space="preserve">يكفي مرشّح واحد يغطي الصلاحية. وإلا تُسجَّل رموز أفضل مرشّح بالترتيب المتفق عليه (OQ-8)، وبصمة SHA-256 للطرفين وإصداريهما (OQ-7).</w:t>
      </w:r>
    </w:p>
    <w:p>
      <w:pPr>
        <w:pStyle w:val="ListParagraph"/>
        <w:numPr>
          <w:ilvl w:val="0"/>
          <w:numId w:val="2"/>
        </w:numPr>
        <w:bidi/>
        <w:spacing w:after="70" w:before="0" w:line="300"/>
      </w:pPr>
      <w:r>
        <w:rPr>
          <w:rFonts w:ascii="Arial" w:cs="Arial" w:eastAsia="Arial" w:hAnsi="Arial"/>
          <w:b w:val="false"/>
          <w:bCs w:val="false"/>
          <w:sz w:val="21"/>
          <w:szCs w:val="21"/>
          <w:rtl/>
        </w:rPr>
        <w:t xml:space="preserve">التعارض الجديد OPEN ويصل إشعاره. والسبب الذي زال يحلّ صفوفه آليًا. والإقرار بسبب مكتوب.</w:t>
      </w:r>
    </w:p>
    <w:p>
      <w:pPr>
        <w:pStyle w:val="ListParagraph"/>
        <w:numPr>
          <w:ilvl w:val="0"/>
          <w:numId w:val="2"/>
        </w:numPr>
        <w:bidi/>
        <w:spacing w:after="70" w:before="0" w:line="300"/>
      </w:pPr>
      <w:r>
        <w:rPr>
          <w:rFonts w:ascii="Arial" w:cs="Arial" w:eastAsia="Arial" w:hAnsi="Arial"/>
          <w:b w:val="false"/>
          <w:bCs w:val="false"/>
          <w:sz w:val="21"/>
          <w:szCs w:val="21"/>
          <w:rtl/>
        </w:rPr>
        <w:t xml:space="preserve">تعمل المقارنة عند كل حفظ صلاحية (تحذير V-ACC-07 لا رفض)، وعند منح أو سحب منحة، وليلًا (JOB-ACC-GOV).</w:t>
      </w:r>
    </w:p>
    <w:p>
      <w:pPr>
        <w:pStyle w:val="ListParagraph"/>
        <w:numPr>
          <w:ilvl w:val="0"/>
          <w:numId w:val="2"/>
        </w:numPr>
        <w:bidi/>
        <w:spacing w:after="70" w:before="0" w:line="300"/>
      </w:pPr>
      <w:r>
        <w:rPr>
          <w:rFonts w:ascii="Arial" w:cs="Arial" w:eastAsia="Arial" w:hAnsi="Arial"/>
          <w:b w:val="false"/>
          <w:bCs w:val="false"/>
          <w:sz w:val="21"/>
          <w:szCs w:val="21"/>
          <w:rtl/>
        </w:rPr>
        <w:t xml:space="preserve">تقرير R-ACC-04 يقرؤه المدقق ولا يقرّ (OQ-10)، وطباعته تُدقَّق. والشاشة SCR-ACC-06.</w:t>
      </w:r>
    </w:p>
    <w:p>
      <w:pPr>
        <w:bidi/>
        <w:spacing w:after="60" w:before="0"/>
      </w:pPr>
    </w:p>
    <w:p>
      <w:pPr>
        <w:pStyle w:val="Heading1"/>
        <w:bidi/>
      </w:pPr>
      <w:bookmarkStart w:name="_sec9" w:id="9"/>
      <w:r>
        <w:rPr>
          <w:rFonts w:ascii="Arial" w:cs="Arial" w:eastAsia="Arial" w:hAnsi="Arial"/>
          <w:b/>
          <w:bCs/>
          <w:color w:val="1F3A5F"/>
          <w:sz w:val="32"/>
          <w:szCs w:val="32"/>
          <w:rtl/>
        </w:rPr>
        <w:t xml:space="preserve">4. الافتراضات المأخوذة (لاعتماد المالك)</w:t>
      </w:r>
      <w:bookmarkEnd w:id="9"/>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909"/>
        <w:gridCol w:w="7955"/>
      </w:tblGrid>
      <w:tr>
        <w:trPr>
          <w:cantSplit/>
          <w:tblHeader/>
        </w:trPr>
        <w:tc>
          <w:tcPr>
            <w:tcW w:type="dxa" w:w="190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السؤال</w:t>
            </w:r>
          </w:p>
        </w:tc>
        <w:tc>
          <w:tcPr>
            <w:tcW w:type="dxa" w:w="795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الافتراض</w:t>
            </w:r>
          </w:p>
        </w:tc>
      </w:tr>
      <w:tr>
        <w:trPr>
          <w:cantSplit/>
        </w:trPr>
        <w:tc>
          <w:tcPr>
            <w:tcW w:type="dxa" w:w="19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OQ-1</w:t>
            </w:r>
          </w:p>
        </w:tc>
        <w:tc>
          <w:tcPr>
            <w:tcW w:type="dxa" w:w="79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نسبة الصف غير المباشر هي الملكية الفعلية للحامل عبر ذلك المسار؛ والوسيط المسمّى هو الجهة الخارجية التي تملك الشركة مباشرة؛ وفحص 100% على المستوى 1 وحده</w:t>
            </w:r>
          </w:p>
        </w:tc>
      </w:tr>
      <w:tr>
        <w:trPr>
          <w:cantSplit/>
        </w:trPr>
        <w:tc>
          <w:tcPr>
            <w:tcW w:type="dxa" w:w="19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OQ-2</w:t>
            </w:r>
          </w:p>
        </w:tc>
        <w:tc>
          <w:tcPr>
            <w:tcW w:type="dxa" w:w="79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التصحيح الرجعي بصلاحية </w:t>
            </w:r>
            <w:r>
              <w:rPr>
                <w:rFonts w:ascii="Courier New" w:cs="Courier New" w:eastAsia="Courier New" w:hAnsi="Courier New"/>
                <w:b w:val="false"/>
                <w:bCs w:val="false"/>
                <w:color w:val="1F2937"/>
                <w:sz w:val="16"/>
                <w:szCs w:val="16"/>
                <w:shd w:fill="F1F3F5" w:color="auto" w:val="clear"/>
                <w:rtl/>
              </w:rPr>
              <w:t xml:space="preserve">‎org.ownership.manage‎</w:t>
            </w:r>
            <w:r>
              <w:rPr>
                <w:rFonts w:ascii="Arial" w:cs="Arial" w:eastAsia="Arial" w:hAnsi="Arial"/>
                <w:b w:val="false"/>
                <w:bCs w:val="false"/>
                <w:sz w:val="18"/>
                <w:szCs w:val="18"/>
                <w:rtl/>
              </w:rPr>
              <w:t xml:space="preserve"> وسبب إلزامي وتدقيق بشدة عالية، بلا رمز جديد</w:t>
            </w:r>
          </w:p>
        </w:tc>
      </w:tr>
      <w:tr>
        <w:trPr>
          <w:cantSplit/>
        </w:trPr>
        <w:tc>
          <w:tcPr>
            <w:tcW w:type="dxa" w:w="19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OQ-3</w:t>
            </w:r>
          </w:p>
        </w:tc>
        <w:tc>
          <w:tcPr>
            <w:tcW w:type="dxa" w:w="79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شغور المنصب: منصب أحادي الشاغل يصح في الهيئة، كان له شاغل ولا شاغل له اليوم</w:t>
            </w:r>
          </w:p>
        </w:tc>
      </w:tr>
      <w:tr>
        <w:trPr>
          <w:cantSplit/>
        </w:trPr>
        <w:tc>
          <w:tcPr>
            <w:tcW w:type="dxa" w:w="19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OQ-4</w:t>
            </w:r>
          </w:p>
        </w:tc>
        <w:tc>
          <w:tcPr>
            <w:tcW w:type="dxa" w:w="79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إغلاق الهيئة يُنهي مدد أعضائها المفتوحة في اليوم السابق للمدة الجديدة، ويمكن نقلهم؛ ومنح الهيئة المغلقة تبقى نافذة وتظهر في تقرير التكامل</w:t>
            </w:r>
          </w:p>
        </w:tc>
      </w:tr>
      <w:tr>
        <w:trPr>
          <w:cantSplit/>
        </w:trPr>
        <w:tc>
          <w:tcPr>
            <w:tcW w:type="dxa" w:w="19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OQ-5</w:t>
            </w:r>
          </w:p>
        </w:tc>
        <w:tc>
          <w:tcPr>
            <w:tcW w:type="dxa" w:w="79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‎PartyId‎</w:t>
            </w:r>
            <w:r>
              <w:rPr>
                <w:rFonts w:ascii="Arial" w:cs="Arial" w:eastAsia="Arial" w:hAnsi="Arial"/>
                <w:b w:val="false"/>
                <w:bCs w:val="false"/>
                <w:sz w:val="18"/>
                <w:szCs w:val="18"/>
                <w:rtl/>
              </w:rPr>
              <w:t xml:space="preserve"> هو العضو كما عُيّن، و</w:t>
            </w:r>
            <w:r>
              <w:rPr>
                <w:rFonts w:ascii="Courier New" w:cs="Courier New" w:eastAsia="Courier New" w:hAnsi="Courier New"/>
                <w:b w:val="false"/>
                <w:bCs w:val="false"/>
                <w:color w:val="1F2937"/>
                <w:sz w:val="16"/>
                <w:szCs w:val="16"/>
                <w:shd w:fill="F1F3F5" w:color="auto" w:val="clear"/>
                <w:rtl/>
              </w:rPr>
              <w:t xml:space="preserve">‎RepresentedPartyId‎</w:t>
            </w:r>
            <w:r>
              <w:rPr>
                <w:rFonts w:ascii="Arial" w:cs="Arial" w:eastAsia="Arial" w:hAnsi="Arial"/>
                <w:b w:val="false"/>
                <w:bCs w:val="false"/>
                <w:sz w:val="18"/>
                <w:szCs w:val="18"/>
                <w:rtl/>
              </w:rPr>
              <w:t xml:space="preserve"> الشخص الطبيعي الذي يمثل العضو الاعتباري</w:t>
            </w:r>
          </w:p>
        </w:tc>
      </w:tr>
      <w:tr>
        <w:trPr>
          <w:cantSplit/>
        </w:trPr>
        <w:tc>
          <w:tcPr>
            <w:tcW w:type="dxa" w:w="19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OQ-6</w:t>
            </w:r>
          </w:p>
        </w:tc>
        <w:tc>
          <w:tcPr>
            <w:tcW w:type="dxa" w:w="79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تغيير البنك في منحة نافذة تغيير جوهري: منحة جديدة بموافقة مستخدم آخر</w:t>
            </w:r>
          </w:p>
        </w:tc>
      </w:tr>
      <w:tr>
        <w:trPr>
          <w:cantSplit/>
        </w:trPr>
        <w:tc>
          <w:tcPr>
            <w:tcW w:type="dxa" w:w="19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OQ-7</w:t>
            </w:r>
          </w:p>
        </w:tc>
        <w:tc>
          <w:tcPr>
            <w:tcW w:type="dxa" w:w="79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البصمة SHA-256 بالحروف الصغيرة لمعرّف الصلاحية وإصدارها ومعرّفات المنح المرشّحة وإصداراتها والرمز</w:t>
            </w:r>
          </w:p>
        </w:tc>
      </w:tr>
      <w:tr>
        <w:trPr>
          <w:cantSplit/>
        </w:trPr>
        <w:tc>
          <w:tcPr>
            <w:tcW w:type="dxa" w:w="19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OQ-8</w:t>
            </w:r>
          </w:p>
        </w:tc>
        <w:tc>
          <w:tcPr>
            <w:tcW w:type="dxa" w:w="79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تعارض إن غطّى مرشّح واحد؛ وإلا رموز أفضل مرشّح بالترتيب NOT_MAPPED ثم NO_GRANT ثم GRANT_EXPIRED ثم NOT_COMPARABLE_CURRENCY ثم GRANT_CEILING_UNSPECIFIED ثم CEILING_EXCEEDS ثم JOINT_MISMATCH</w:t>
            </w:r>
          </w:p>
        </w:tc>
      </w:tr>
      <w:tr>
        <w:trPr>
          <w:cantSplit/>
        </w:trPr>
        <w:tc>
          <w:tcPr>
            <w:tcW w:type="dxa" w:w="19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OQ-9</w:t>
            </w:r>
          </w:p>
        </w:tc>
        <w:tc>
          <w:tcPr>
            <w:tcW w:type="dxa" w:w="79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المنح النافذة وحدها في المقارنة وفي الاستعلام؛ المسودة والمنتظرة لا تُحسب</w:t>
            </w:r>
          </w:p>
        </w:tc>
      </w:tr>
      <w:tr>
        <w:trPr>
          <w:cantSplit/>
        </w:trPr>
        <w:tc>
          <w:tcPr>
            <w:tcW w:type="dxa" w:w="19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OQ-10</w:t>
            </w:r>
          </w:p>
        </w:tc>
        <w:tc>
          <w:tcPr>
            <w:tcW w:type="dxa" w:w="79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قراءة التعارضات بـ </w:t>
            </w:r>
            <w:r>
              <w:rPr>
                <w:rFonts w:ascii="Courier New" w:cs="Courier New" w:eastAsia="Courier New" w:hAnsi="Courier New"/>
                <w:b w:val="false"/>
                <w:bCs w:val="false"/>
                <w:color w:val="1F2937"/>
                <w:sz w:val="16"/>
                <w:szCs w:val="16"/>
                <w:shd w:fill="F1F3F5" w:color="auto" w:val="clear"/>
                <w:rtl/>
              </w:rPr>
              <w:t xml:space="preserve">‎sig.view‎</w:t>
            </w:r>
            <w:r>
              <w:rPr>
                <w:rFonts w:ascii="Arial" w:cs="Arial" w:eastAsia="Arial" w:hAnsi="Arial"/>
                <w:b w:val="false"/>
                <w:bCs w:val="false"/>
                <w:sz w:val="18"/>
                <w:szCs w:val="18"/>
                <w:rtl/>
              </w:rPr>
              <w:t xml:space="preserve">، والإقرار بـ </w:t>
            </w:r>
            <w:r>
              <w:rPr>
                <w:rFonts w:ascii="Courier New" w:cs="Courier New" w:eastAsia="Courier New" w:hAnsi="Courier New"/>
                <w:b w:val="false"/>
                <w:bCs w:val="false"/>
                <w:color w:val="1F2937"/>
                <w:sz w:val="16"/>
                <w:szCs w:val="16"/>
                <w:shd w:fill="F1F3F5" w:color="auto" w:val="clear"/>
                <w:rtl/>
              </w:rPr>
              <w:t xml:space="preserve">‎sig.conflict.review‎</w:t>
            </w:r>
          </w:p>
        </w:tc>
      </w:tr>
      <w:tr>
        <w:trPr>
          <w:cantSplit/>
        </w:trPr>
        <w:tc>
          <w:tcPr>
            <w:tcW w:type="dxa" w:w="19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OQ-11</w:t>
            </w:r>
          </w:p>
        </w:tc>
        <w:tc>
          <w:tcPr>
            <w:tcW w:type="dxa" w:w="79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إشعار فوري لـ ACC.GOV_CONFLICT؛ الملخص الليلي مع مهمة الملخصات لاحقًا</w:t>
            </w:r>
          </w:p>
        </w:tc>
      </w:tr>
      <w:tr>
        <w:trPr>
          <w:cantSplit/>
        </w:trPr>
        <w:tc>
          <w:tcPr>
            <w:tcW w:type="dxa" w:w="19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OQ-12</w:t>
            </w:r>
          </w:p>
        </w:tc>
        <w:tc>
          <w:tcPr>
            <w:tcW w:type="dxa" w:w="79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مسار الخروج AC-ACC-3 مع AC-ACC-7 الجديد</w:t>
            </w:r>
          </w:p>
        </w:tc>
      </w:tr>
      <w:tr>
        <w:trPr>
          <w:cantSplit/>
        </w:trPr>
        <w:tc>
          <w:tcPr>
            <w:tcW w:type="dxa" w:w="19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OQ-13</w:t>
            </w:r>
          </w:p>
        </w:tc>
        <w:tc>
          <w:tcPr>
            <w:tcW w:type="dxa" w:w="79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AC-ACC-4 يستعمل قرار مجلس الإدارة (بلا انتهاء)؛ يُصحَّح نص المعيار ولا تتغير البذور</w:t>
            </w:r>
          </w:p>
        </w:tc>
      </w:tr>
      <w:tr>
        <w:trPr>
          <w:cantSplit/>
        </w:trPr>
        <w:tc>
          <w:tcPr>
            <w:tcW w:type="dxa" w:w="19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OQ-14</w:t>
            </w:r>
          </w:p>
        </w:tc>
        <w:tc>
          <w:tcPr>
            <w:tcW w:type="dxa" w:w="79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تفعيل المفوَّض يحتاج نسخة نظيفة من وثيقة نوعها يصح للمفوَّضين</w:t>
            </w:r>
          </w:p>
        </w:tc>
      </w:tr>
      <w:tr>
        <w:trPr>
          <w:cantSplit/>
        </w:trPr>
        <w:tc>
          <w:tcPr>
            <w:tcW w:type="dxa" w:w="19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OQ-15</w:t>
            </w:r>
          </w:p>
        </w:tc>
        <w:tc>
          <w:tcPr>
            <w:tcW w:type="dxa" w:w="79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الاستثناء يوافق عليه مدير خزينة غير المنشئ، ويُدقَّق بشدة عالية</w:t>
            </w:r>
          </w:p>
        </w:tc>
      </w:tr>
      <w:tr>
        <w:trPr>
          <w:cantSplit/>
        </w:trPr>
        <w:tc>
          <w:tcPr>
            <w:tcW w:type="dxa" w:w="19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OQ-16</w:t>
            </w:r>
          </w:p>
        </w:tc>
        <w:tc>
          <w:tcPr>
            <w:tcW w:type="dxa" w:w="79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إغلاق العلاقة يسرد المفوَّضين الساريين ويسحبهم بعد التأكيد</w:t>
            </w:r>
          </w:p>
        </w:tc>
      </w:tr>
      <w:tr>
        <w:trPr>
          <w:cantSplit/>
        </w:trPr>
        <w:tc>
          <w:tcPr>
            <w:tcW w:type="dxa" w:w="19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OQ-17</w:t>
            </w:r>
          </w:p>
        </w:tc>
        <w:tc>
          <w:tcPr>
            <w:tcW w:type="dxa" w:w="79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المستندات الأساسية: سجل تجاري وعقد تأسيس ساريان</w:t>
            </w:r>
          </w:p>
        </w:tc>
      </w:tr>
      <w:tr>
        <w:trPr>
          <w:cantSplit/>
        </w:trPr>
        <w:tc>
          <w:tcPr>
            <w:tcW w:type="dxa" w:w="19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OQ-18</w:t>
            </w:r>
          </w:p>
        </w:tc>
        <w:tc>
          <w:tcPr>
            <w:tcW w:type="dxa" w:w="79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المستفيد الحقيقي يُقترح عند 25% فأكثر ويؤكده المستخدم</w:t>
            </w:r>
          </w:p>
        </w:tc>
      </w:tr>
      <w:tr>
        <w:trPr>
          <w:cantSplit/>
        </w:trPr>
        <w:tc>
          <w:tcPr>
            <w:tcW w:type="dxa" w:w="19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OQ-19</w:t>
            </w:r>
          </w:p>
        </w:tc>
        <w:tc>
          <w:tcPr>
            <w:tcW w:type="dxa" w:w="79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تبويبات الهيكل تُخفى عمّن دوره طالب فقط (RQ)</w:t>
            </w:r>
          </w:p>
        </w:tc>
      </w:tr>
    </w:tbl>
    <w:p>
      <w:pPr>
        <w:bidi/>
        <w:spacing w:after="120" w:before="0"/>
      </w:pPr>
    </w:p>
    <w:p>
      <w:pPr>
        <w:pStyle w:val="Heading1"/>
        <w:bidi/>
      </w:pPr>
      <w:bookmarkStart w:name="_sec10" w:id="10"/>
      <w:r>
        <w:rPr>
          <w:rFonts w:ascii="Arial" w:cs="Arial" w:eastAsia="Arial" w:hAnsi="Arial"/>
          <w:b/>
          <w:bCs/>
          <w:color w:val="1F3A5F"/>
          <w:sz w:val="32"/>
          <w:szCs w:val="32"/>
          <w:rtl/>
        </w:rPr>
        <w:t xml:space="preserve">5. ما وُجد في الطريق</w:t>
      </w:r>
      <w:bookmarkEnd w:id="10"/>
    </w:p>
    <w:p>
      <w:pPr>
        <w:pStyle w:val="ListParagraph"/>
        <w:numPr>
          <w:ilvl w:val="0"/>
          <w:numId w:val="2"/>
        </w:numPr>
        <w:bidi/>
        <w:spacing w:after="70" w:before="0" w:line="300"/>
      </w:pPr>
      <w:r>
        <w:rPr>
          <w:rFonts w:ascii="Arial" w:cs="Arial" w:eastAsia="Arial" w:hAnsi="Arial"/>
          <w:b w:val="false"/>
          <w:bCs w:val="false"/>
          <w:sz w:val="21"/>
          <w:szCs w:val="21"/>
          <w:rtl/>
        </w:rPr>
        <w:t xml:space="preserve">عبارة UPDATE أو INSERT مع OUTPUT بلا INTO تُرفض على جدول عليه قادح. صار </w:t>
      </w:r>
      <w:r>
        <w:rPr>
          <w:rFonts w:ascii="Courier New" w:cs="Courier New" w:eastAsia="Courier New" w:hAnsi="Courier New"/>
          <w:b w:val="false"/>
          <w:bCs w:val="false"/>
          <w:color w:val="1F2937"/>
          <w:sz w:val="18"/>
          <w:szCs w:val="18"/>
          <w:shd w:fill="F1F3F5" w:color="auto" w:val="clear"/>
          <w:rtl/>
        </w:rPr>
        <w:t xml:space="preserve">‎acc.Signatory‎</w:t>
      </w:r>
      <w:r>
        <w:rPr>
          <w:rFonts w:ascii="Arial" w:cs="Arial" w:eastAsia="Arial" w:hAnsi="Arial"/>
          <w:b w:val="false"/>
          <w:bCs w:val="false"/>
          <w:sz w:val="21"/>
          <w:szCs w:val="21"/>
          <w:rtl/>
        </w:rPr>
        <w:t xml:space="preserve"> يُكتب بـ OUTPUT INTO جدول مؤقت.</w:t>
      </w:r>
    </w:p>
    <w:p>
      <w:pPr>
        <w:pStyle w:val="ListParagraph"/>
        <w:numPr>
          <w:ilvl w:val="0"/>
          <w:numId w:val="2"/>
        </w:numPr>
        <w:bidi/>
        <w:spacing w:after="70" w:before="0" w:line="300"/>
      </w:pPr>
      <w:r>
        <w:rPr>
          <w:rFonts w:ascii="Arial" w:cs="Arial" w:eastAsia="Arial" w:hAnsi="Arial"/>
          <w:b w:val="false"/>
          <w:bCs w:val="false"/>
          <w:sz w:val="21"/>
          <w:szCs w:val="21"/>
          <w:rtl/>
        </w:rPr>
        <w:t xml:space="preserve">مستهلك أحداث المنح كان يتوقف أمام حمولة بلا معرّف منحة، فيوقف مرور الصندوق كله. صار يتجاوزها.</w:t>
      </w:r>
    </w:p>
    <w:p>
      <w:pPr>
        <w:bidi/>
        <w:spacing w:after="60" w:before="0"/>
      </w:pPr>
    </w:p>
    <w:p>
      <w:pPr>
        <w:pStyle w:val="Heading1"/>
        <w:bidi/>
      </w:pPr>
      <w:bookmarkStart w:name="_sec11" w:id="11"/>
      <w:r>
        <w:rPr>
          <w:rFonts w:ascii="Arial" w:cs="Arial" w:eastAsia="Arial" w:hAnsi="Arial"/>
          <w:b/>
          <w:bCs/>
          <w:color w:val="1F3A5F"/>
          <w:sz w:val="32"/>
          <w:szCs w:val="32"/>
          <w:rtl/>
        </w:rPr>
        <w:t xml:space="preserve">6. الاختبار</w:t>
      </w:r>
      <w:bookmarkEnd w:id="11"/>
    </w:p>
    <w:p>
      <w:pPr>
        <w:pStyle w:val="ListParagraph"/>
        <w:numPr>
          <w:ilvl w:val="0"/>
          <w:numId w:val="2"/>
        </w:numPr>
        <w:bidi/>
        <w:spacing w:after="70" w:before="0" w:line="300"/>
      </w:pPr>
      <w:r>
        <w:rPr>
          <w:rFonts w:ascii="Arial" w:cs="Arial" w:eastAsia="Arial" w:hAnsi="Arial"/>
          <w:b w:val="false"/>
          <w:bCs w:val="false"/>
          <w:sz w:val="21"/>
          <w:szCs w:val="21"/>
          <w:rtl/>
        </w:rPr>
        <w:t xml:space="preserve">50 اختبار وحدة، و42 اختبار تكامل على قاعدة حقيقية، واختبار المتصفح (أُضيف إليه تبويب الملكية وتقرير التعارضات).</w:t>
      </w:r>
    </w:p>
    <w:p>
      <w:pPr>
        <w:pStyle w:val="ListParagraph"/>
        <w:numPr>
          <w:ilvl w:val="0"/>
          <w:numId w:val="2"/>
        </w:numPr>
        <w:bidi/>
        <w:spacing w:after="70" w:before="0" w:line="300"/>
      </w:pPr>
      <w:r>
        <w:rPr>
          <w:rFonts w:ascii="Arial" w:cs="Arial" w:eastAsia="Arial" w:hAnsi="Arial"/>
          <w:b w:val="false"/>
          <w:bCs w:val="false"/>
          <w:sz w:val="21"/>
          <w:szCs w:val="21"/>
          <w:rtl/>
        </w:rPr>
        <w:t xml:space="preserve">فحوص قاعدة البيانات كلها نجحت على دفعة S1B-A (الوحيدة التي غيّرت القاعدة).</w:t>
      </w:r>
    </w:p>
    <w:p>
      <w:pPr>
        <w:pStyle w:val="ListParagraph"/>
        <w:numPr>
          <w:ilvl w:val="0"/>
          <w:numId w:val="2"/>
        </w:numPr>
        <w:bidi/>
        <w:spacing w:after="70" w:before="0" w:line="300"/>
      </w:pPr>
      <w:r>
        <w:rPr>
          <w:rFonts w:ascii="Arial" w:cs="Arial" w:eastAsia="Arial" w:hAnsi="Arial"/>
          <w:b w:val="false"/>
          <w:bCs w:val="false"/>
          <w:sz w:val="21"/>
          <w:szCs w:val="21"/>
          <w:rtl/>
        </w:rPr>
        <w:t xml:space="preserve">اختبارات S1-ب الجديدة: StructureFoundationTests (2) وOwnershipTests (3) وGovernanceTests (3) وSignatoryTests (3) وGovernanceConflictTests (1).</w:t>
      </w:r>
    </w:p>
    <w:p>
      <w:pPr>
        <w:bidi/>
        <w:spacing w:after="60" w:before="0"/>
      </w:pPr>
    </w:p>
    <w:p>
      <w:pPr>
        <w:pStyle w:val="Heading1"/>
        <w:bidi/>
      </w:pPr>
      <w:bookmarkStart w:name="_sec12" w:id="12"/>
      <w:r>
        <w:rPr>
          <w:rFonts w:ascii="Arial" w:cs="Arial" w:eastAsia="Arial" w:hAnsi="Arial"/>
          <w:b/>
          <w:bCs/>
          <w:color w:val="1F3A5F"/>
          <w:sz w:val="32"/>
          <w:szCs w:val="32"/>
          <w:rtl/>
        </w:rPr>
        <w:t xml:space="preserve">7. ما بقي خارج S1-ب</w:t>
      </w:r>
      <w:bookmarkEnd w:id="12"/>
    </w:p>
    <w:p>
      <w:pPr>
        <w:pStyle w:val="ListParagraph"/>
        <w:numPr>
          <w:ilvl w:val="0"/>
          <w:numId w:val="2"/>
        </w:numPr>
        <w:bidi/>
        <w:spacing w:after="70" w:before="0" w:line="300"/>
      </w:pPr>
      <w:r>
        <w:rPr>
          <w:rFonts w:ascii="Arial" w:cs="Arial" w:eastAsia="Arial" w:hAnsi="Arial"/>
          <w:b w:val="false"/>
          <w:bCs w:val="false"/>
          <w:sz w:val="21"/>
          <w:szCs w:val="21"/>
          <w:rtl/>
        </w:rPr>
        <w:t xml:space="preserve">فحص كفاية التوقيعات لعملية ومبلغ (SVC-04، S3) والجزء الثاني من R-ACC-05.</w:t>
      </w:r>
    </w:p>
    <w:p>
      <w:pPr>
        <w:pStyle w:val="ListParagraph"/>
        <w:numPr>
          <w:ilvl w:val="0"/>
          <w:numId w:val="2"/>
        </w:numPr>
        <w:bidi/>
        <w:spacing w:after="70" w:before="0" w:line="300"/>
      </w:pPr>
      <w:r>
        <w:rPr>
          <w:rFonts w:ascii="Arial" w:cs="Arial" w:eastAsia="Arial" w:hAnsi="Arial"/>
          <w:b w:val="false"/>
          <w:bCs w:val="false"/>
          <w:sz w:val="21"/>
          <w:szCs w:val="21"/>
          <w:rtl/>
        </w:rPr>
        <w:t xml:space="preserve">التحذير V-ACC-04 على الحساب (حد التوقيعات يفوق المفوَّضين المؤهلين).</w:t>
      </w:r>
    </w:p>
    <w:p>
      <w:pPr>
        <w:pStyle w:val="ListParagraph"/>
        <w:numPr>
          <w:ilvl w:val="0"/>
          <w:numId w:val="2"/>
        </w:numPr>
        <w:bidi/>
        <w:spacing w:after="70" w:before="0" w:line="300"/>
      </w:pPr>
      <w:r>
        <w:rPr>
          <w:rFonts w:ascii="Arial" w:cs="Arial" w:eastAsia="Arial" w:hAnsi="Arial"/>
          <w:b w:val="false"/>
          <w:bCs w:val="false"/>
          <w:sz w:val="21"/>
          <w:szCs w:val="21"/>
          <w:rtl/>
        </w:rPr>
        <w:t xml:space="preserve">مصفوفة صلاحيات البنك (R-ACC-03) وسجل المفوَّضين (R-ACC-02) كتقريرين مستقلين؛ بياناتهما متاحة في الشاشات.</w:t>
      </w:r>
    </w:p>
    <w:p>
      <w:pPr>
        <w:pStyle w:val="ListParagraph"/>
        <w:numPr>
          <w:ilvl w:val="0"/>
          <w:numId w:val="2"/>
        </w:numPr>
        <w:bidi/>
        <w:spacing w:after="70" w:before="0" w:line="300"/>
      </w:pPr>
      <w:r>
        <w:rPr>
          <w:rFonts w:ascii="Arial" w:cs="Arial" w:eastAsia="Arial" w:hAnsi="Arial"/>
          <w:b w:val="false"/>
          <w:bCs w:val="false"/>
          <w:sz w:val="21"/>
          <w:szCs w:val="21"/>
          <w:rtl/>
        </w:rPr>
        <w:t xml:space="preserve">الملخص الليلي للتعارضات (مع JOB-NTF-DIGEST).</w:t>
      </w:r>
    </w:p>
    <w:p>
      <w:pPr>
        <w:pStyle w:val="ListParagraph"/>
        <w:numPr>
          <w:ilvl w:val="0"/>
          <w:numId w:val="2"/>
        </w:numPr>
        <w:bidi/>
        <w:spacing w:after="70" w:before="0" w:line="300"/>
      </w:pPr>
      <w:r>
        <w:rPr>
          <w:rFonts w:ascii="Arial" w:cs="Arial" w:eastAsia="Arial" w:hAnsi="Arial"/>
          <w:b w:val="false"/>
          <w:bCs w:val="false"/>
          <w:sz w:val="21"/>
          <w:szCs w:val="21"/>
          <w:rtl/>
        </w:rPr>
        <w:t xml:space="preserve">إشعار عند حلّ التعارض: يُكتب الحدث </w:t>
      </w:r>
      <w:r>
        <w:rPr>
          <w:rFonts w:ascii="Courier New" w:cs="Courier New" w:eastAsia="Courier New" w:hAnsi="Courier New"/>
          <w:b w:val="false"/>
          <w:bCs w:val="false"/>
          <w:color w:val="1F2937"/>
          <w:sz w:val="18"/>
          <w:szCs w:val="18"/>
          <w:shd w:fill="F1F3F5" w:color="auto" w:val="clear"/>
          <w:rtl/>
        </w:rPr>
        <w:t xml:space="preserve">‎authority.conflict.resolved‎</w:t>
      </w:r>
      <w:r>
        <w:rPr>
          <w:rFonts w:ascii="Arial" w:cs="Arial" w:eastAsia="Arial" w:hAnsi="Arial"/>
          <w:b w:val="false"/>
          <w:bCs w:val="false"/>
          <w:sz w:val="21"/>
          <w:szCs w:val="21"/>
          <w:rtl/>
        </w:rPr>
        <w:t xml:space="preserve">، ولم يُضف له نص إشعار.</w:t>
      </w:r>
    </w:p>
    <w:p>
      <w:pPr>
        <w:bidi/>
        <w:spacing w:after="60" w:before="0"/>
      </w:pPr>
    </w:p>
    <w:sectPr>
      <w:headerReference w:type="default" r:id="rId7"/>
      <w:footerReference w:type="default" r:id="rId8"/>
      <w:pgSz w:w="11906" w:h="16838" w:orient="portrait"/>
      <w:pgMar w:top="1134" w:right="1021" w:bottom="1134" w:left="1021" w:header="500" w:footer="500" w:gutter="0"/>
      <w:pgNumType/>
      <w:bidi/>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center"/>
    </w:pPr>
    <w:r>
      <w:rPr>
        <w:rFonts w:ascii="Arial" w:cs="Arial" w:eastAsia="Arial" w:hAnsi="Arial"/>
        <w:color w:val="5B6670"/>
        <w:sz w:val="17"/>
        <w:szCs w:val="17"/>
        <w:rtl/>
      </w:rPr>
      <w:t xml:space="preserve">صفحة </w:t>
    </w:r>
    <w:r>
      <w:rPr>
        <w:rFonts w:ascii="Arial" w:cs="Arial" w:eastAsia="Arial" w:hAnsi="Arial"/>
        <w:color w:val="5B6670"/>
        <w:sz w:val="17"/>
        <w:szCs w:val="17"/>
        <w:rtl/>
      </w:rPr>
      <w:fldChar w:fldCharType="begin"/>
      <w:instrText xml:space="preserve">PAGE</w:instrText>
      <w:fldChar w:fldCharType="separate"/>
      <w:fldChar w:fldCharType="end"/>
    </w:r>
    <w:r>
      <w:rPr>
        <w:rFonts w:ascii="Arial" w:cs="Arial" w:eastAsia="Arial" w:hAnsi="Arial"/>
        <w:color w:val="5B6670"/>
        <w:sz w:val="17"/>
        <w:szCs w:val="17"/>
        <w:rtl/>
      </w:rPr>
      <w:t xml:space="preserve"> من </w:t>
    </w:r>
    <w:r>
      <w:rPr>
        <w:rFonts w:ascii="Arial" w:cs="Arial" w:eastAsia="Arial" w:hAnsi="Arial"/>
        <w:color w:val="5B6670"/>
        <w:sz w:val="17"/>
        <w:szCs w:val="17"/>
        <w:rtl/>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C9D6" w:sz="4" w:space="4"/>
      </w:pBdr>
      <w:bidi/>
      <w:spacing w:after="0"/>
    </w:pPr>
    <w:r>
      <w:rPr>
        <w:rFonts w:ascii="Arial" w:cs="Arial" w:eastAsia="Arial" w:hAnsi="Arial"/>
        <w:color w:val="5B6670"/>
        <w:sz w:val="17"/>
        <w:szCs w:val="17"/>
        <w:rtl/>
      </w:rPr>
      <w:t xml:space="preserve">BankFas — بناء الشريحة S1-ب</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74" w:hanging="284"/>
      </w:pPr>
    </w:lvl>
    <w:lvl w:ilvl="1" w15:tentative="1">
      <w:start w:val="1"/>
      <w:numFmt w:val="bullet"/>
      <w:lvlText w:val="–"/>
      <w:lvlJc w:val="left"/>
      <w:pPr>
        <w:ind w:left="1028" w:hanging="284"/>
      </w:pPr>
    </w:lvl>
    <w:lvl w:ilvl="2" w15:tentative="1">
      <w:start w:val="1"/>
      <w:numFmt w:val="bullet"/>
      <w:lvlText w:val="·"/>
      <w:lvlJc w:val="left"/>
      <w:pPr>
        <w:ind w:left="1482" w:hanging="284"/>
      </w:pPr>
    </w:lvl>
    <w:lvl w:ilvl="3" w15:tentative="1">
      <w:start w:val="1"/>
      <w:numFmt w:val="bullet"/>
      <w:lvlText w:val="·"/>
      <w:lvlJc w:val="left"/>
      <w:pPr>
        <w:ind w:left="1936" w:hanging="284"/>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tl/>
        <w:lang w:val="ar-SA" w:bidi="ar-SA"/>
      </w:rPr>
    </w:rPrDefault>
    <w:pPrDefault>
      <w:pPr>
        <w:bidi/>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bidi/>
      <w:spacing w:after="160" w:before="0"/>
    </w:pPr>
    <w:rPr>
      <w:b/>
      <w:bCs/>
      <w:color w:val="1F3A5F"/>
      <w:sz w:val="48"/>
      <w:szCs w:val="48"/>
    </w:rPr>
  </w:style>
  <w:style w:type="paragraph" w:styleId="Heading1">
    <w:name w:val="heading 1"/>
    <w:basedOn w:val="Normal"/>
    <w:next w:val="Normal"/>
    <w:qFormat/>
    <w:pPr>
      <w:keepNext/>
      <w:pBdr>
        <w:bottom w:val="single" w:color="1F3A5F" w:sz="8" w:space="3"/>
      </w:pBdr>
      <w:bidi/>
      <w:spacing w:after="140" w:before="380"/>
      <w:outlineLvl w:val="0"/>
    </w:pPr>
    <w:rPr>
      <w:b/>
      <w:bCs/>
      <w:color w:val="1F3A5F"/>
      <w:sz w:val="32"/>
      <w:szCs w:val="32"/>
    </w:rPr>
  </w:style>
  <w:style w:type="paragraph" w:styleId="Heading2">
    <w:name w:val="heading 2"/>
    <w:basedOn w:val="Normal"/>
    <w:next w:val="Normal"/>
    <w:qFormat/>
    <w:pPr>
      <w:keepNext/>
      <w:bidi/>
      <w:spacing w:after="100" w:before="260"/>
      <w:outlineLvl w:val="1"/>
    </w:pPr>
    <w:rPr>
      <w:b/>
      <w:bCs/>
      <w:color w:val="2B5C8A"/>
      <w:sz w:val="26"/>
      <w:szCs w:val="26"/>
    </w:rPr>
  </w:style>
  <w:style w:type="paragraph" w:styleId="Heading3">
    <w:name w:val="heading 3"/>
    <w:basedOn w:val="Normal"/>
    <w:next w:val="Normal"/>
    <w:qFormat/>
    <w:pPr>
      <w:keepNext/>
      <w:bidi/>
      <w:spacing w:after="80" w:before="200"/>
      <w:outlineLvl w:val="2"/>
    </w:pPr>
    <w:rPr>
      <w:b/>
      <w:bCs/>
      <w:color w:val="2B5C8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المرحلة الثانية: بناء التطبيق — الشريحة S1-ب</dc:title>
  <dc:creator>Claude</dc:creator>
  <dc:description>BankFas database design document</dc:description>
  <cp:lastModifiedBy>Un-named</cp:lastModifiedBy>
  <cp:revision>1</cp:revision>
  <dcterms:created xsi:type="dcterms:W3CDTF">2026-10-22T08:27:13.494Z</dcterms:created>
  <dcterms:modified xsi:type="dcterms:W3CDTF">2026-10-22T08:27:13.495Z</dcterms:modified>
</cp:coreProperties>
</file>

<file path=docProps/custom.xml><?xml version="1.0" encoding="utf-8"?>
<Properties xmlns="http://schemas.openxmlformats.org/officeDocument/2006/custom-properties" xmlns:vt="http://schemas.openxmlformats.org/officeDocument/2006/docPropsVTypes"/>
</file>