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203 جداول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الست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7"/>
        <w:gridCol w:w="2221"/>
        <w:gridCol w:w="965"/>
        <w:gridCol w:w="965"/>
        <w:gridCol w:w="1057"/>
        <w:gridCol w:w="3599"/>
      </w:tblGrid>
      <w:tr>
        <w:trPr>
          <w:cantSplit/>
          <w:tblHeader/>
        </w:trPr>
        <w:tc>
          <w:tcPr>
            <w:tcW w:type="dxa" w:w="1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إضافة بنود للمشترك</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لغير الإلزامي تُحفظ صفرًا صريحًا عند التقديم؛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Arial" w:cs="Arial" w:eastAsia="Arial" w:hAnsi="Arial"/>
                <w:color w:val="E0A800"/>
                <w:sz w:val="18"/>
                <w:szCs w:val="18"/>
                <w:rtl/>
              </w:rPr>
              <w:t xml:space="preserve">●</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(39): أصول </w:t>
      </w:r>
      <w:r>
        <w:rPr>
          <w:rFonts w:ascii="Courier New" w:cs="Courier New" w:eastAsia="Courier New" w:hAnsi="Courier New"/>
          <w:b w:val="false"/>
          <w:bCs w:val="false"/>
          <w:color w:val="1F2937"/>
          <w:sz w:val="18"/>
          <w:szCs w:val="18"/>
          <w:shd w:fill="F1F3F5" w:color="auto" w:val="clear"/>
          <w:rtl/>
        </w:rPr>
        <w:t xml:space="preserve">‎CASH AR INVENTORY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CURRENT_PORTION_LTD AP OTHER_CL TOTAL_CL* LT_LOANS LEASE_LIABS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DEPR_AMORT EBITDA* OPERATING_PROFIT*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‎EBITDA = GROSS_PROFIT − OPEX‎</w:t>
      </w:r>
      <w:r>
        <w:rPr>
          <w:rFonts w:ascii="Arial" w:cs="Arial" w:eastAsia="Arial" w:hAnsi="Arial"/>
          <w:b w:val="false"/>
          <w:bCs w:val="false"/>
          <w:sz w:val="21"/>
          <w:szCs w:val="21"/>
          <w:rtl/>
        </w:rPr>
        <w:t xml:space="preserve"> بافتراض أن OPEX لا يشمل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5"/>
        <w:gridCol w:w="6646"/>
        <w:gridCol w:w="1663"/>
      </w:tblGrid>
      <w:tr>
        <w:trPr>
          <w:cantSplit/>
          <w:tblHeader/>
        </w:trPr>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(مرحلة لاحقة، طلب المالك 2026-10-18)</w:t>
            </w:r>
          </w:p>
        </w:tc>
        <w:tc>
          <w:tcPr>
            <w:tcW w:type="dxa" w:w="6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القوائم المعتمدة بوحداتها ومقاييس التحليل وتقرير الخروقات وأداء التحويلات محفوظة بمفاتيح ثابتة (PublicId للقائمة والتقدير) ولقطات</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نظام التقييم الائتماني هذه البيانات عبر API للقراءة فقط ليقيّم الشركة ويقيس أداءها؛ لا يُبنى الآن</w:t>
            </w:r>
          </w:p>
        </w:tc>
      </w:tr>
      <w:tr>
        <w:trPr>
          <w:cantSplit/>
        </w:trPr>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476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42ca4be550ebe74257854d71c92a07cd3cd79736.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2026-10-18T18:41:41.262Z</dcterms:created>
  <dcterms:modified xsi:type="dcterms:W3CDTF">2026-10-18T18:41:41.263Z</dcterms:modified>
</cp:coreProperties>
</file>

<file path=docProps/custom.xml><?xml version="1.0" encoding="utf-8"?>
<Properties xmlns="http://schemas.openxmlformats.org/officeDocument/2006/custom-properties" xmlns:vt="http://schemas.openxmlformats.org/officeDocument/2006/docPropsVTypes"/>
</file>