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(203 جداول،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476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0">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203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3,438 مُعرَّفة في النماذج + الأعمدة الآلية = </w:t>
            </w:r>
            <w:r>
              <w:rPr>
                <w:rFonts w:ascii="Arial" w:cs="Arial" w:eastAsia="Arial" w:hAnsi="Arial"/>
                <w:b/>
                <w:bCs/>
                <w:sz w:val="18"/>
                <w:szCs w:val="18"/>
                <w:rtl/>
              </w:rPr>
              <w:t xml:space="preserve">3,975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796</w:t>
            </w:r>
            <w:r>
              <w:rPr>
                <w:rFonts w:ascii="Arial" w:cs="Arial" w:eastAsia="Arial" w:hAnsi="Arial"/>
                <w:b w:val="false"/>
                <w:bCs w:val="false"/>
                <w:sz w:val="18"/>
                <w:szCs w:val="18"/>
                <w:rtl/>
              </w:rPr>
              <w:t xml:space="preserve"> = 190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537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+ 69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759 غير مجمّع (227 مصفّاة · 50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1,302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433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+ 146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188 (185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(135 مفتاحًا من الـ537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49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(162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(38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(227)</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(50)</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534 مفهرسًا و73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(210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LineCatalogItem, LineCatalogItemAlias, FinancialStatement, StatementLine, </w:t>
            </w: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الجداول الأربعة لوحدة القوائم المالية (ADR 0016).</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مرحلة لاحقة لم تُبنَ (المواصفة 12 §11).</w:t>
      </w:r>
    </w:p>
    <w:p>
      <w:pPr>
        <w:pStyle w:val="Heading1"/>
        <w:bidi/>
      </w:pPr>
      <w:bookmarkStart w:name="_sec51" w:id="51"/>
      <w:r>
        <w:rPr>
          <w:rFonts w:ascii="Arial" w:cs="Arial" w:eastAsia="Arial" w:hAnsi="Arial"/>
          <w:b/>
          <w:bCs/>
          <w:color w:val="1F3A5F"/>
          <w:sz w:val="32"/>
          <w:szCs w:val="32"/>
          <w:rtl/>
        </w:rPr>
        <w:t xml:space="preserve">12. النشر وإدارة التغيير</w:t>
      </w:r>
      <w:bookmarkEnd w:id="51"/>
    </w:p>
    <w:p>
      <w:pPr>
        <w:pStyle w:val="Heading2"/>
        <w:bidi/>
      </w:pPr>
      <w:bookmarkStart w:name="_sec52" w:id="5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3" w:id="53"/>
      <w:r>
        <w:rPr>
          <w:rFonts w:ascii="Arial" w:cs="Arial" w:eastAsia="Arial" w:hAnsi="Arial"/>
          <w:b/>
          <w:bCs/>
          <w:color w:val="2B5C8A"/>
          <w:sz w:val="26"/>
          <w:szCs w:val="26"/>
          <w:rtl/>
        </w:rPr>
        <w:t xml:space="preserve">12.2 تغيير النموذج</w:t>
      </w:r>
      <w:bookmarkEnd w:id="5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4" w:id="5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5" w:id="55"/>
      <w:r>
        <w:rPr>
          <w:rFonts w:ascii="Arial" w:cs="Arial" w:eastAsia="Arial" w:hAnsi="Arial"/>
          <w:b/>
          <w:bCs/>
          <w:color w:val="2B5C8A"/>
          <w:sz w:val="26"/>
          <w:szCs w:val="26"/>
          <w:rtl/>
        </w:rPr>
        <w:t xml:space="preserve">12.4 الأداء والحمل</w:t>
      </w:r>
      <w:bookmarkEnd w:id="5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6" w:id="56"/>
      <w:r>
        <w:rPr>
          <w:rFonts w:ascii="Arial" w:cs="Arial" w:eastAsia="Arial" w:hAnsi="Arial"/>
          <w:b/>
          <w:bCs/>
          <w:color w:val="1F3A5F"/>
          <w:sz w:val="32"/>
          <w:szCs w:val="32"/>
          <w:rtl/>
        </w:rPr>
        <w:t xml:space="preserve">13. البذور وتهيئة المشترك</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(140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7" w:id="57"/>
      <w:r>
        <w:rPr>
          <w:rFonts w:ascii="Arial" w:cs="Arial" w:eastAsia="Arial" w:hAnsi="Arial"/>
          <w:b/>
          <w:bCs/>
          <w:color w:val="1F3A5F"/>
          <w:sz w:val="32"/>
          <w:szCs w:val="32"/>
          <w:rtl/>
        </w:rPr>
        <w:t xml:space="preserve">14. أدلة التحقق وحدودها (بصراحة)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203 جداول / 3,438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203 جداول، 257 منحة مولّدة، 98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534 مفهرسًا، 73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و68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15. القرارات المتخذة (تُعتمد ما لم تعترض)</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16. حدود معروفة ونقاط مفتوحة</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يؤكد المالك قاعدة BR-FIN-016؛ اللقطة اليومية مع مهام S2-ب؛ والربط بالتقييم الائتماني مرحلة لاحقة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17. الخطوة التالية</w:t>
      </w:r>
      <w:bookmarkEnd w:id="6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2026-10-18T18:36:45.699Z</dcterms:created>
  <dcterms:modified xsi:type="dcterms:W3CDTF">2026-10-18T18:36:45.699Z</dcterms:modified>
</cp:coreProperties>
</file>

<file path=docProps/custom.xml><?xml version="1.0" encoding="utf-8"?>
<Properties xmlns="http://schemas.openxmlformats.org/officeDocument/2006/custom-properties" xmlns:vt="http://schemas.openxmlformats.org/officeDocument/2006/docPropsVTypes"/>
</file>