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وثيقة تصميم قاعدة البيانات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7398"/>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0.2)</w:t>
            </w:r>
            <w:r>
              <w:rPr>
                <w:rFonts w:ascii="Arial" w:cs="Arial" w:eastAsia="Arial" w:hAnsi="Arial"/>
                <w:b w:val="false"/>
                <w:bCs w:val="false"/>
                <w:sz w:val="18"/>
                <w:szCs w:val="18"/>
                <w:rtl/>
              </w:rPr>
              <w:t xml:space="preserve"> — التصميم مكتمل لكل وحدات </w:t>
            </w:r>
            <w:r>
              <w:rPr>
                <w:rFonts w:ascii="Courier New" w:cs="Courier New" w:eastAsia="Courier New" w:hAnsi="Courier New"/>
                <w:b w:val="false"/>
                <w:bCs w:val="false"/>
                <w:color w:val="1F2937"/>
                <w:sz w:val="16"/>
                <w:szCs w:val="16"/>
                <w:shd w:fill="F1F3F5" w:color="auto" w:val="clear"/>
                <w:rtl/>
              </w:rPr>
              <w:t xml:space="preserve">‎10…14‎</w:t>
            </w:r>
            <w:r>
              <w:rPr>
                <w:rFonts w:ascii="Arial" w:cs="Arial" w:eastAsia="Arial" w:hAnsi="Arial"/>
                <w:b w:val="false"/>
                <w:bCs w:val="false"/>
                <w:sz w:val="18"/>
                <w:szCs w:val="18"/>
                <w:rtl/>
              </w:rPr>
              <w:t xml:space="preserve">؛ نُشر على SQL Server 2025 في بيئة التطوير ويمر CI كاملًا (انظر §14)؛ لم يُنشر على خادم الإنتاج بعد</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(TMP) — قاعدة البيانات </w:t>
            </w:r>
            <w:r>
              <w:rPr>
                <w:rFonts w:ascii="Courier New" w:cs="Courier New" w:eastAsia="Courier New" w:hAnsi="Courier New"/>
                <w:b w:val="false"/>
                <w:bCs w:val="false"/>
                <w:color w:val="1F2937"/>
                <w:sz w:val="16"/>
                <w:szCs w:val="16"/>
                <w:shd w:fill="F1F3F5" w:color="auto" w:val="clear"/>
                <w:rtl/>
              </w:rPr>
              <w:t xml:space="preserve">‎BankFas‎</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(آخر إصدار؛ قاعدة سياسة الإصدارات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§13)</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 الهندسي</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(198 جدولًا) — </w:t>
            </w:r>
            <w:r>
              <w:rPr>
                <w:rFonts w:ascii="Arial" w:cs="Arial" w:eastAsia="Arial" w:hAnsi="Arial"/>
                <w:b/>
                <w:bCs/>
                <w:sz w:val="18"/>
                <w:szCs w:val="18"/>
                <w:rtl/>
              </w:rPr>
              <w:t xml:space="preserve">الملفات المولَّدة لا تُعدَّل يدويًا</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المخرجات</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w:t>
            </w:r>
            <w:r>
              <w:rPr>
                <w:rFonts w:ascii="Arial" w:cs="Arial" w:eastAsia="Arial" w:hAnsi="Arial"/>
                <w:b w:val="false"/>
                <w:bCs w:val="false"/>
                <w:sz w:val="18"/>
                <w:szCs w:val="18"/>
                <w:rtl/>
              </w:rPr>
              <w:t xml:space="preserve"> (SQL Server) · </w:t>
            </w:r>
            <w:r>
              <w:rPr>
                <w:rFonts w:ascii="Courier New" w:cs="Courier New" w:eastAsia="Courier New" w:hAnsi="Courier New"/>
                <w:b w:val="false"/>
                <w:bCs w:val="false"/>
                <w:color w:val="1F2937"/>
                <w:sz w:val="16"/>
                <w:szCs w:val="16"/>
                <w:shd w:fill="F1F3F5" w:color="auto" w:val="clear"/>
                <w:rtl/>
              </w:rPr>
              <w:t xml:space="preserve">‎db/static/*‎</w:t>
            </w:r>
            <w:r>
              <w:rPr>
                <w:rFonts w:ascii="Arial" w:cs="Arial" w:eastAsia="Arial" w:hAnsi="Arial"/>
                <w:b w:val="false"/>
                <w:bCs w:val="false"/>
                <w:sz w:val="18"/>
                <w:szCs w:val="18"/>
                <w:rtl/>
              </w:rPr>
              <w:t xml:space="preserve"> (الأدوار والـRLS والجلسة والعروض) ·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‎21-data-dictionary.md‎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‎22-erd-by-schema.md‎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(التحقق الثابت للصلاحيات)</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المتطلبات</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متطلبًا وظيفيًا في </w:t>
            </w:r>
            <w:r>
              <w:rPr>
                <w:rFonts w:ascii="Courier New" w:cs="Courier New" w:eastAsia="Courier New" w:hAnsi="Courier New"/>
                <w:b w:val="false"/>
                <w:bCs w:val="false"/>
                <w:color w:val="1F2937"/>
                <w:sz w:val="16"/>
                <w:szCs w:val="16"/>
                <w:shd w:fill="F1F3F5" w:color="auto" w:val="clear"/>
                <w:rtl/>
              </w:rPr>
              <w:t xml:space="preserve">‎10-detailed-analysis/10…14‎</w:t>
            </w:r>
            <w:r>
              <w:rPr>
                <w:rFonts w:ascii="Arial" w:cs="Arial" w:eastAsia="Arial" w:hAnsi="Arial"/>
                <w:b w:val="false"/>
                <w:bCs w:val="false"/>
                <w:sz w:val="18"/>
                <w:szCs w:val="18"/>
                <w:rtl/>
              </w:rPr>
              <w:t xml:space="preserve"> (فهرس: </w:t>
            </w:r>
            <w:r>
              <w:rPr>
                <w:rFonts w:ascii="Courier New" w:cs="Courier New" w:eastAsia="Courier New" w:hAnsi="Courier New"/>
                <w:b w:val="false"/>
                <w:bCs w:val="false"/>
                <w:color w:val="1F2937"/>
                <w:sz w:val="16"/>
                <w:szCs w:val="16"/>
                <w:shd w:fill="F1F3F5" w:color="auto" w:val="clear"/>
                <w:rtl/>
              </w:rPr>
              <w:t xml:space="preserve">‎91-requirements-index.md‎</w:t>
            </w:r>
            <w:r>
              <w:rPr>
                <w:rFonts w:ascii="Arial" w:cs="Arial" w:eastAsia="Arial" w:hAnsi="Arial"/>
                <w:b w:val="false"/>
                <w:bCs w:val="false"/>
                <w:sz w:val="18"/>
                <w:szCs w:val="18"/>
                <w:rtl/>
              </w:rPr>
              <w:t xml:space="preserve">)</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 0.2)</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4">
        <w:r>
          <w:rPr>
            <w:rFonts w:ascii="Arial" w:cs="Arial" w:eastAsia="Arial" w:hAnsi="Arial"/>
            <w:b/>
            <w:bCs/>
            <w:color w:val="1F3A5F"/>
            <w:sz w:val="20"/>
            <w:szCs w:val="20"/>
            <w:rtl/>
          </w:rPr>
          <w:t xml:space="preserve">8. الفهرسة</w:t>
        </w:r>
      </w:hyperlink>
    </w:p>
    <w:p>
      <w:pPr>
        <w:bidi/>
        <w:spacing w:after="50" w:before="0"/>
        <w:ind w:left="0"/>
      </w:pPr>
      <w:hyperlink w:history="1" w:anchor="_sec25">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0">
        <w:r>
          <w:rPr>
            <w:rFonts w:ascii="Arial" w:cs="Arial" w:eastAsia="Arial" w:hAnsi="Arial"/>
            <w:b/>
            <w:bCs/>
            <w:color w:val="1F3A5F"/>
            <w:sz w:val="20"/>
            <w:szCs w:val="20"/>
            <w:rtl/>
          </w:rPr>
          <w:t xml:space="preserve">10. خريطة المخططات والجداول</w:t>
        </w:r>
      </w:hyperlink>
    </w:p>
    <w:p>
      <w:pPr>
        <w:bidi/>
        <w:spacing w:after="50" w:before="0"/>
        <w:ind w:left="0"/>
      </w:pPr>
      <w:hyperlink w:history="1" w:anchor="_sec45">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49">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54">
        <w:r>
          <w:rPr>
            <w:rFonts w:ascii="Arial" w:cs="Arial" w:eastAsia="Arial" w:hAnsi="Arial"/>
            <w:b/>
            <w:bCs/>
            <w:color w:val="1F3A5F"/>
            <w:sz w:val="20"/>
            <w:szCs w:val="20"/>
            <w:rtl/>
          </w:rPr>
          <w:t xml:space="preserve">13. البذور وتهيئة المشترك</w:t>
        </w:r>
      </w:hyperlink>
    </w:p>
    <w:p>
      <w:pPr>
        <w:bidi/>
        <w:spacing w:after="50" w:before="0"/>
        <w:ind w:left="0"/>
      </w:pPr>
      <w:hyperlink w:history="1" w:anchor="_sec55">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56">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57">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58">
        <w:r>
          <w:rPr>
            <w:rFonts w:ascii="Arial" w:cs="Arial" w:eastAsia="Arial" w:hAnsi="Arial"/>
            <w:b/>
            <w:bCs/>
            <w:color w:val="1F3A5F"/>
            <w:sz w:val="20"/>
            <w:szCs w:val="20"/>
            <w:rtl/>
          </w:rPr>
          <w:t xml:space="preserve">17. الخطوة التالية</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 0.2)</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4980"/>
        <w:gridCol w:w="3911"/>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39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الإصلاحات الحرجة العشرة من مراجعة التصميم (DR-01 إلى DR-10) على النموذج والـDDL: كتالوجات القيم مملوكة للمشترك بنسخ لكل مشترك (DR-03/05/07)، ومفتاح الغرض في مفاتيح التشفير (DR-02)، والمالك المتعدد بأقواس خارجية (DR-04)، وربط المراجع بالتسهيل والشركة والقالب (DR-06/09/10)، وتصنيف </w:t>
            </w:r>
            <w:r>
              <w:rPr>
                <w:rFonts w:ascii="Courier New" w:cs="Courier New" w:eastAsia="Courier New" w:hAnsi="Courier New"/>
                <w:b w:val="false"/>
                <w:bCs w:val="false"/>
                <w:color w:val="1F2937"/>
                <w:sz w:val="16"/>
                <w:szCs w:val="16"/>
                <w:shd w:fill="F1F3F5" w:color="auto" w:val="clear"/>
                <w:rtl/>
              </w:rPr>
              <w:t xml:space="preserve">‎Collateral.Attributes‎</w:t>
            </w:r>
            <w:r>
              <w:rPr>
                <w:rFonts w:ascii="Arial" w:cs="Arial" w:eastAsia="Arial" w:hAnsi="Arial"/>
                <w:b w:val="false"/>
                <w:bCs w:val="false"/>
                <w:sz w:val="18"/>
                <w:szCs w:val="18"/>
                <w:rtl/>
              </w:rPr>
              <w:t xml:space="preserve"> (DR-08)،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 (DR-01)</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في الجداول المختلطة وبعض المفاتيح الأجنبية لا تُقيَّد بالنطاق (المشترك أو الغرض أو التسهيل أو الشركة)، فيقبل قيد المفتاح قيمة من خارج النطاق (§18)</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أدوات الترحيل (O-2)، ومرساة سلسلة التدقيق (O-13)، وRPO/RTO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سكربتات الترحيل بين الإصدارات؛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5"/>
        <w:gridCol w:w="7319"/>
      </w:tblGrid>
      <w:tr>
        <w:trPr>
          <w:cantSplit/>
          <w:tblHeader/>
        </w:trPr>
        <w:tc>
          <w:tcPr>
            <w:tcW w:type="dxa" w:w="2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3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198</w:t>
            </w:r>
            <w:r>
              <w:rPr>
                <w:rFonts w:ascii="Arial" w:cs="Arial" w:eastAsia="Arial" w:hAnsi="Arial"/>
                <w:b w:val="false"/>
                <w:bCs w:val="false"/>
                <w:sz w:val="18"/>
                <w:szCs w:val="18"/>
                <w:rtl/>
              </w:rPr>
              <w:t xml:space="preserve"> في 20 مخططًا</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3,280 مُعرَّفة في النماذج + الأعمدة الآلية = </w:t>
            </w:r>
            <w:r>
              <w:rPr>
                <w:rFonts w:ascii="Arial" w:cs="Arial" w:eastAsia="Arial" w:hAnsi="Arial"/>
                <w:b/>
                <w:bCs/>
                <w:sz w:val="18"/>
                <w:szCs w:val="18"/>
                <w:rtl/>
              </w:rPr>
              <w:t xml:space="preserve">3,804</w:t>
            </w:r>
            <w:r>
              <w:rPr>
                <w:rFonts w:ascii="Arial" w:cs="Arial" w:eastAsia="Arial" w:hAnsi="Arial"/>
                <w:b w:val="false"/>
                <w:bCs w:val="false"/>
                <w:sz w:val="18"/>
                <w:szCs w:val="18"/>
                <w:rtl/>
              </w:rPr>
              <w:t xml:space="preserve"> في DDL</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763</w:t>
            </w:r>
            <w:r>
              <w:rPr>
                <w:rFonts w:ascii="Arial" w:cs="Arial" w:eastAsia="Arial" w:hAnsi="Arial"/>
                <w:b w:val="false"/>
                <w:bCs w:val="false"/>
                <w:sz w:val="18"/>
                <w:szCs w:val="18"/>
                <w:rtl/>
              </w:rPr>
              <w:t xml:space="preserve"> = 184 لملكية المشترك (</w:t>
            </w:r>
            <w:r>
              <w:rPr>
                <w:rFonts w:ascii="Courier New" w:cs="Courier New" w:eastAsia="Courier New" w:hAnsi="Courier New"/>
                <w:b w:val="false"/>
                <w:bCs w:val="false"/>
                <w:color w:val="1F2937"/>
                <w:sz w:val="16"/>
                <w:szCs w:val="16"/>
                <w:shd w:fill="F1F3F5" w:color="auto" w:val="clear"/>
                <w:rtl/>
              </w:rPr>
              <w:t xml:space="preserve">‎TenantId → plat.Tenant‎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515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+ 64 بسيطة نحو جداول عالمية/مختلطة</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 غير مجمّع (206 مصفّاة · 47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1,158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387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+ 128 فهرسًا فريدًا</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 (جذور التجميعات المعرَّضة عبر API)</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183 (180 مملوكة للمشترك + 3 مختلطة، منها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الـ11 العالمية خارجها)</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يقرأ التطبيق وحدات مشتركه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198 جدولًا؛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(88 مفتاحًا من الـ515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الاتصال بجلسة دخول</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ADR 0002): الاتصال يُربط بالمشترك برمز جلسة صادر عن دخول تحقق من كلمة المرور داخل القاعدة، والمستخدم يؤخذ من الجلسة لا من التطبيق.</w:t>
      </w:r>
    </w:p>
    <w:p>
      <w:pPr>
        <w:bidi/>
        <w:spacing w:after="60" w:before="0"/>
      </w:pPr>
    </w:p>
    <w:p>
      <w:pPr>
        <w:bidi/>
        <w:spacing w:after="110" w:before="0" w:line="312"/>
      </w:pPr>
      <w:r>
        <w:rPr>
          <w:rFonts w:ascii="Arial" w:cs="Arial" w:eastAsia="Arial" w:hAnsi="Arial"/>
          <w:b w:val="false"/>
          <w:bCs w:val="false"/>
          <w:sz w:val="21"/>
          <w:szCs w:val="21"/>
          <w:rtl/>
        </w:rPr>
        <w:t xml:space="preserve">الطبقات الأربع كلها داخل القاعدة. المخاطر داخل المشترك الواحد (O-24، erd_open_items) أُغلقت بـ ADR 0003 عدا ما يذكره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bidi/>
        <w:spacing w:after="110" w:before="0" w:line="312"/>
      </w:pPr>
      <w:r>
        <w:rPr>
          <w:rFonts w:ascii="Arial" w:cs="Arial" w:eastAsia="Arial" w:hAnsi="Arial"/>
          <w:b w:val="false"/>
          <w:bCs w:val="false"/>
          <w:sz w:val="21"/>
          <w:szCs w:val="21"/>
          <w:rtl/>
        </w:rPr>
        <w:t xml:space="preserve">التصميم المعتمد في ADR 0002 (</w:t>
      </w:r>
      <w:r>
        <w:rPr>
          <w:rFonts w:ascii="Courier New" w:cs="Courier New" w:eastAsia="Courier New" w:hAnsi="Courier New"/>
          <w:b w:val="false"/>
          <w:bCs w:val="false"/>
          <w:color w:val="1F2937"/>
          <w:sz w:val="18"/>
          <w:szCs w:val="18"/>
          <w:shd w:fill="F1F3F5" w:color="auto" w:val="clear"/>
          <w:rtl/>
        </w:rPr>
        <w:t xml:space="preserve">‎docs/adr/0002-login-and-session-bound-context.md‎</w:t>
      </w:r>
      <w:r>
        <w:rPr>
          <w:rFonts w:ascii="Arial" w:cs="Arial" w:eastAsia="Arial" w:hAnsi="Arial"/>
          <w:b w:val="false"/>
          <w:bCs w:val="false"/>
          <w:sz w:val="21"/>
          <w:szCs w:val="21"/>
          <w:rtl/>
        </w:rPr>
        <w:t xml:space="preserve">) وADR 0003 (</w:t>
      </w:r>
      <w:r>
        <w:rPr>
          <w:rFonts w:ascii="Courier New" w:cs="Courier New" w:eastAsia="Courier New" w:hAnsi="Courier New"/>
          <w:b w:val="false"/>
          <w:bCs w:val="false"/>
          <w:color w:val="1F2937"/>
          <w:sz w:val="18"/>
          <w:szCs w:val="18"/>
          <w:shd w:fill="F1F3F5" w:color="auto" w:val="clear"/>
          <w:rtl/>
        </w:rPr>
        <w:t xml:space="preserve">‎docs/adr/0003-account-security-in-the-database.md‎</w:t>
      </w:r>
      <w:r>
        <w:rPr>
          <w:rFonts w:ascii="Arial" w:cs="Arial" w:eastAsia="Arial" w:hAnsi="Arial"/>
          <w:b w:val="false"/>
          <w:bCs w:val="false"/>
          <w:sz w:val="21"/>
          <w:szCs w:val="21"/>
          <w:rtl/>
        </w:rPr>
        <w:t xml:space="preserve">)، والمنفّذ في </w:t>
      </w:r>
      <w:r>
        <w:rPr>
          <w:rFonts w:ascii="Courier New" w:cs="Courier New" w:eastAsia="Courier New" w:hAnsi="Courier New"/>
          <w:b w:val="false"/>
          <w:bCs w:val="false"/>
          <w:color w:val="1F2937"/>
          <w:sz w:val="18"/>
          <w:szCs w:val="18"/>
          <w:shd w:fill="F1F3F5" w:color="auto" w:val="clear"/>
          <w:rtl/>
        </w:rPr>
        <w:t xml:space="preserve">‎db/static/030_session_context.sql‎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‎db/static/035_account_security.sql‎</w:t>
      </w:r>
      <w:r>
        <w:rPr>
          <w:rFonts w:ascii="Arial" w:cs="Arial" w:eastAsia="Arial" w:hAnsi="Arial"/>
          <w:b w:val="false"/>
          <w:bCs w:val="false"/>
          <w:sz w:val="21"/>
          <w:szCs w:val="21"/>
          <w:rtl/>
        </w:rPr>
        <w:t xml:space="preserve">؛ يحل O-9 وO-11 (20-database-design) وO-17 وO-18 وO-19 وO-24 (erd_open_items).</w:t>
      </w:r>
    </w:p>
    <w:p>
      <w:pPr>
        <w:pStyle w:val="ListParagraph"/>
        <w:numPr>
          <w:ilvl w:val="0"/>
          <w:numId w:val="3"/>
        </w:numPr>
        <w:bidi/>
        <w:spacing w:after="70" w:before="0" w:line="300"/>
      </w:pPr>
      <w:r>
        <w:rPr>
          <w:rFonts w:ascii="Arial" w:cs="Arial" w:eastAsia="Arial" w:hAnsi="Arial"/>
          <w:b/>
          <w:bCs/>
          <w:sz w:val="21"/>
          <w:szCs w:val="21"/>
          <w:rtl/>
        </w:rPr>
        <w:t xml:space="preserve">الدخول داخل القاعدة: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‎sec.usp_GetPasswordParams‎</w:t>
      </w:r>
      <w:r>
        <w:rPr>
          <w:rFonts w:ascii="Arial" w:cs="Arial" w:eastAsia="Arial" w:hAnsi="Arial"/>
          <w:b w:val="false"/>
          <w:bCs w:val="false"/>
          <w:sz w:val="21"/>
          <w:szCs w:val="21"/>
          <w:rtl/>
        </w:rPr>
        <w:t xml:space="preserve"> يعيد معاملات Argon2id المخزّنة دون التجزئة؛ يحسب التطبيق التجزئة من كلمة المرور؛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يقارنها داخل القاعدة، ويطبّق القفل (BR-PLT-005)، ويسجّل كل محاولة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وينشئ جلسة في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بتجزئة SHA-256 لرمز الجلسة (خمول 30 دقيقة، مطلق 12 ساعة). كل فشل قبل إثبات كلمة المرور يرفع الخطأ نفسه </w:t>
      </w:r>
      <w:r>
        <w:rPr>
          <w:rFonts w:ascii="Courier New" w:cs="Courier New" w:eastAsia="Courier New" w:hAnsi="Courier New"/>
          <w:b w:val="false"/>
          <w:bCs w:val="false"/>
          <w:color w:val="1F2937"/>
          <w:sz w:val="18"/>
          <w:szCs w:val="18"/>
          <w:shd w:fill="F1F3F5" w:color="auto" w:val="clear"/>
          <w:rtl/>
        </w:rPr>
        <w:t xml:space="preserve">‎50005‎</w:t>
      </w:r>
      <w:r>
        <w:rPr>
          <w:rFonts w:ascii="Arial" w:cs="Arial" w:eastAsia="Arial" w:hAnsi="Arial"/>
          <w:b w:val="false"/>
          <w:bCs w:val="false"/>
          <w:sz w:val="21"/>
          <w:szCs w:val="21"/>
          <w:rtl/>
        </w:rPr>
        <w:t xml:space="preserve"> فلا يكشف وجود البريد؛ ومن أثبت كلمة مروره ورفضته حالة المشترك يأخذ </w:t>
      </w:r>
      <w:r>
        <w:rPr>
          <w:rFonts w:ascii="Courier New" w:cs="Courier New" w:eastAsia="Courier New" w:hAnsi="Courier New"/>
          <w:b w:val="false"/>
          <w:bCs w:val="false"/>
          <w:color w:val="1F2937"/>
          <w:sz w:val="18"/>
          <w:szCs w:val="18"/>
          <w:shd w:fill="F1F3F5" w:color="auto" w:val="clear"/>
          <w:rtl/>
        </w:rPr>
        <w:t xml:space="preserve">‎50006‎</w:t>
      </w:r>
      <w:r>
        <w:rPr>
          <w:rFonts w:ascii="Arial" w:cs="Arial" w:eastAsia="Arial" w:hAnsi="Arial"/>
          <w:b w:val="false"/>
          <w:bCs w:val="false"/>
          <w:sz w:val="21"/>
          <w:szCs w:val="21"/>
          <w:rtl/>
        </w:rPr>
        <w:t xml:space="preserve"> (DQ-F03-11). MFA إلزامي لكل مستخدم غير خدمي: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يسجّل نتيجة رمز TOTP وخطوته الزمنية، والخطوة المكررة والرمز الخاطئ يُعدّان في عداد القفل، و</w:t>
      </w:r>
      <w:r>
        <w:rPr>
          <w:rFonts w:ascii="Courier New" w:cs="Courier New" w:eastAsia="Courier New" w:hAnsi="Courier New"/>
          <w:b w:val="false"/>
          <w:bCs w:val="false"/>
          <w:color w:val="1F2937"/>
          <w:sz w:val="18"/>
          <w:szCs w:val="18"/>
          <w:shd w:fill="F1F3F5" w:color="auto" w:val="clear"/>
          <w:rtl/>
        </w:rPr>
        <w:t xml:space="preserve">‎sec.usp_CompleteMfaEnrolment‎</w:t>
      </w:r>
      <w:r>
        <w:rPr>
          <w:rFonts w:ascii="Arial" w:cs="Arial" w:eastAsia="Arial" w:hAnsi="Arial"/>
          <w:b w:val="false"/>
          <w:bCs w:val="false"/>
          <w:sz w:val="21"/>
          <w:szCs w:val="21"/>
          <w:rtl/>
        </w:rPr>
        <w:t xml:space="preserve"> يسجّل أول تسجيل، و</w:t>
      </w:r>
      <w:r>
        <w:rPr>
          <w:rFonts w:ascii="Courier New" w:cs="Courier New" w:eastAsia="Courier New" w:hAnsi="Courier New"/>
          <w:b w:val="false"/>
          <w:bCs w:val="false"/>
          <w:color w:val="1F2937"/>
          <w:sz w:val="18"/>
          <w:szCs w:val="18"/>
          <w:shd w:fill="F1F3F5" w:color="auto" w:val="clear"/>
          <w:rtl/>
        </w:rPr>
        <w:t xml:space="preserve">‎sec.usp_UseRecoveryCode‎</w:t>
      </w:r>
      <w:r>
        <w:rPr>
          <w:rFonts w:ascii="Arial" w:cs="Arial" w:eastAsia="Arial" w:hAnsi="Arial"/>
          <w:b w:val="false"/>
          <w:bCs w:val="false"/>
          <w:sz w:val="21"/>
          <w:szCs w:val="21"/>
          <w:rtl/>
        </w:rPr>
        <w:t xml:space="preserve"> يستهلك رمز الاسترداد داخل القاعدة.</w:t>
      </w:r>
    </w:p>
    <w:p>
      <w:pPr>
        <w:pStyle w:val="ListParagraph"/>
        <w:numPr>
          <w:ilvl w:val="0"/>
          <w:numId w:val="3"/>
        </w:numPr>
        <w:bidi/>
        <w:spacing w:after="70" w:before="0" w:line="300"/>
      </w:pPr>
      <w:r>
        <w:rPr>
          <w:rFonts w:ascii="Arial" w:cs="Arial" w:eastAsia="Arial" w:hAnsi="Arial"/>
          <w:b/>
          <w:bCs/>
          <w:sz w:val="21"/>
          <w:szCs w:val="21"/>
          <w:rtl/>
        </w:rPr>
        <w:t xml:space="preserve">الربط لكل اتصال: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‎sec.usp_SetSessionContext(@TenantId, @SessionToken, @ClientIp, @CorrelationId)‎</w:t>
      </w:r>
      <w:r>
        <w:rPr>
          <w:rFonts w:ascii="Arial" w:cs="Arial" w:eastAsia="Arial" w:hAnsi="Arial"/>
          <w:b w:val="false"/>
          <w:bCs w:val="false"/>
          <w:sz w:val="21"/>
          <w:szCs w:val="21"/>
          <w:rtl/>
        </w:rPr>
        <w:t xml:space="preserve"> يُستدعى عند فتح كل اتصال من المجمّع وقبل أي استعلام. يأخذ المستخدم من الجلسة لا من التطبيق، ويرفض: مدخلات ناقصة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 مشتركًا مجهولًا أو مؤرشفًا أو مغلقًا منذ أكثر من 30 يومًا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 جلسة منتهية أو مستخدمًا غير نشط أو خدميًا أو جلسة بلا MFA أو مستخدمًا لا تقبله حالة المشترك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المعلّق والمغلق لمدير الحساب TA وحده، O-18)، واتصالًا مربوطًا من قبل (</w:t>
      </w:r>
      <w:r>
        <w:rPr>
          <w:rFonts w:ascii="Courier New" w:cs="Courier New" w:eastAsia="Courier New" w:hAnsi="Courier New"/>
          <w:b w:val="false"/>
          <w:bCs w:val="false"/>
          <w:color w:val="1F2937"/>
          <w:sz w:val="18"/>
          <w:szCs w:val="18"/>
          <w:shd w:fill="F1F3F5" w:color="auto" w:val="clear"/>
          <w:rtl/>
        </w:rPr>
        <w:t xml:space="preserve">‎50004‎</w:t>
      </w:r>
      <w:r>
        <w:rPr>
          <w:rFonts w:ascii="Arial" w:cs="Arial" w:eastAsia="Arial" w:hAnsi="Arial"/>
          <w:b w:val="false"/>
          <w:bCs w:val="false"/>
          <w:sz w:val="21"/>
          <w:szCs w:val="21"/>
          <w:rtl/>
        </w:rPr>
        <w:t xml:space="preserve">). ثم يكتب 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ودوال RLS في 010 تشترط تطابق السياق وصف الربط ورمزه.</w:t>
      </w:r>
    </w:p>
    <w:p>
      <w:pPr>
        <w:pStyle w:val="ListParagraph"/>
        <w:numPr>
          <w:ilvl w:val="0"/>
          <w:numId w:val="3"/>
        </w:numPr>
        <w:bidi/>
        <w:spacing w:after="70" w:before="0" w:line="300"/>
      </w:pPr>
      <w:r>
        <w:rPr>
          <w:rFonts w:ascii="Arial" w:cs="Arial" w:eastAsia="Arial" w:hAnsi="Arial"/>
          <w:b/>
          <w:bCs/>
          <w:sz w:val="21"/>
          <w:szCs w:val="21"/>
          <w:rtl/>
        </w:rPr>
        <w:t xml:space="preserve">السحب الفوري:</w:t>
      </w:r>
      <w:r>
        <w:rPr>
          <w:rFonts w:ascii="Arial" w:cs="Arial" w:eastAsia="Arial" w:hAnsi="Arial"/>
          <w:b w:val="false"/>
          <w:bCs w:val="false"/>
          <w:sz w:val="21"/>
          <w:szCs w:val="21"/>
          <w:rtl/>
        </w:rPr>
        <w:t xml:space="preserve"> قوادح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تحذف صف الربط عند تعطيل المستخدم أو حذفه، أو إنهاء الجلسة، أو خروج المشترك من </w:t>
      </w:r>
      <w:r>
        <w:rPr>
          <w:rFonts w:ascii="Courier New" w:cs="Courier New" w:eastAsia="Courier New" w:hAnsi="Courier New"/>
          <w:b w:val="false"/>
          <w:bCs w:val="false"/>
          <w:color w:val="1F2937"/>
          <w:sz w:val="18"/>
          <w:szCs w:val="18"/>
          <w:shd w:fill="F1F3F5" w:color="auto" w:val="clear"/>
          <w:rtl/>
        </w:rPr>
        <w:t xml:space="preserve">‎TRIAL/ACTIVE‎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بلا تسجيل دخول): يتجاوز RLS داخل الإجراءات والقوادح فقط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منحه في 020: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وتعديل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وكامل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وإدراجها وتعديلها، وإدراج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وما تحتاجه إجراءات 035 على </w:t>
      </w:r>
      <w:r>
        <w:rPr>
          <w:rFonts w:ascii="Courier New" w:cs="Courier New" w:eastAsia="Courier New" w:hAnsi="Courier New"/>
          <w:b w:val="false"/>
          <w:bCs w:val="false"/>
          <w:color w:val="1F2937"/>
          <w:sz w:val="18"/>
          <w:szCs w:val="18"/>
          <w:shd w:fill="F1F3F5" w:color="auto" w:val="clear"/>
          <w:rtl/>
        </w:rPr>
        <w:t xml:space="preserve">‎sec.UserToken‎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‎sec.MfaRecoveryCode‎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‎sec.UserPasswordHistory‎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حسابات المستخدمين (035، ADR 0003):</w:t>
      </w:r>
      <w:r>
        <w:rPr>
          <w:rFonts w:ascii="Arial" w:cs="Arial" w:eastAsia="Arial" w:hAnsi="Arial"/>
          <w:b w:val="false"/>
          <w:bCs w:val="false"/>
          <w:sz w:val="21"/>
          <w:szCs w:val="21"/>
          <w:rtl/>
        </w:rPr>
        <w:t xml:space="preserve"> الدعوة وإعادة التعيين وتغيير كلمة المرور بقاعدة السجل، وروابط البريد (دعوة 48 ساعة، إعادة تعيين 30 دقيقة، إعادة تسجيل MFA 24 ساعة) تُخزَّن ببصمة SHA-256 فقط، وفك القفل وتصفير MFA وتغيير حالة المستخدم وإنهاء الجلسة وتمديد الخمول: كلها 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حدود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ولا تجزئات السجل ورموز الاسترداد، ولا ينشئ جلسة ولا يعدّلها، ولا يعدّل أعمدة كلمة المرور وMFA والقفل والحالة، ولا يصدر رابطًا (DENY في 030 و035 بعد المنح المولّدة 007؛ الاختباران T35 وT45). ينشئ مستخدمًا بحالة INVITED فقط بلا بيانات اعتماد (قادح، 50012). ولأن بعض الأعمدة محجوبة يسمّي التطبيق أعمدته: </w:t>
      </w:r>
      <w:r>
        <w:rPr>
          <w:rFonts w:ascii="Courier New" w:cs="Courier New" w:eastAsia="Courier New" w:hAnsi="Courier New"/>
          <w:b w:val="false"/>
          <w:bCs w:val="false"/>
          <w:color w:val="1F2937"/>
          <w:sz w:val="18"/>
          <w:szCs w:val="18"/>
          <w:shd w:fill="F1F3F5" w:color="auto" w:val="clear"/>
          <w:rtl/>
        </w:rPr>
        <w:t xml:space="preserve">‎SELECT *‎</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‎COUNT(*)‎</w:t>
      </w:r>
      <w:r>
        <w:rPr>
          <w:rFonts w:ascii="Arial" w:cs="Arial" w:eastAsia="Arial" w:hAnsi="Arial"/>
          <w:b w:val="false"/>
          <w:bCs w:val="false"/>
          <w:sz w:val="21"/>
          <w:szCs w:val="21"/>
          <w:rtl/>
        </w:rPr>
        <w:t xml:space="preserve"> على هذه الجداول يرفضان بالخطأ 230.</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يجب على التطبيق ألا يستعمل الاتصال، و</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من المجمّع يمسح السياق قبل إعادة الاستعمال.</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مستخدم خدمة لكل مشترك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لا يربط بـ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لأن الربط يتطلب جلسة متحققة بـ MFA لمستخدم غير خدمي، ولا يُقفل بمحاولات خاطئة لأنها لا تُعدّ له؛ وتربط به المهام الخلفية عبر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لمهمة من القائمة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وبحالة مشترك تسمح بها، فيقرأ ويكتب بصلاحيات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في مشترك واحد، ولا يستعمل إجراءات المدير (</w:t>
      </w:r>
      <w:r>
        <w:rPr>
          <w:rFonts w:ascii="Courier New" w:cs="Courier New" w:eastAsia="Courier New" w:hAnsi="Courier New"/>
          <w:b w:val="false"/>
          <w:bCs w:val="false"/>
          <w:color w:val="1F2937"/>
          <w:sz w:val="18"/>
          <w:szCs w:val="18"/>
          <w:shd w:fill="F1F3F5" w:color="auto" w:val="clear"/>
          <w:rtl/>
        </w:rPr>
        <w:t xml:space="preserve">‎sec.fn_BoundAsUser‎</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المخاطر المتبقية داخل المشترك الواحد (ADR 0003):</w:t>
      </w:r>
      <w:r>
        <w:rPr>
          <w:rFonts w:ascii="Arial" w:cs="Arial" w:eastAsia="Arial" w:hAnsi="Arial"/>
          <w:b w:val="false"/>
          <w:bCs w:val="false"/>
          <w:sz w:val="21"/>
          <w:szCs w:val="21"/>
          <w:rtl/>
        </w:rPr>
        <w:t xml:space="preserve"> التطبيق يرى رمز الرابط الخام لأنه يرسل البريد، وفحص TOTP في التطبيق لأن المفتاح عنده (مع فحص التكرار وحد الإخفاقات في القاعدة). لا يعبر أي منها حدود المشترك. وأُغلق R6: حذف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لم يعد يمحو الأثر، لأن كل محاولة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(ADR 0007، DQ-F03-10).</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093"/>
        <w:gridCol w:w="2797"/>
        <w:gridCol w:w="2428"/>
        <w:gridCol w:w="984"/>
        <w:gridCol w:w="1578"/>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 ووحدات الاشتراك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والإنشاء والحالة وحسابات المشغّلين بإجراءات فقط (ADR 0004)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 noplat‎</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‎plat.OperatorToken‎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تكتبها إجراءات بعينها فقط (030، 036)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‎cfg.NonWorkingDay‎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جدول مختلط بسياسة خاصة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الجداول العالمية (بما فيها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المحجوبة) وعلى صفوف المنصة في الجداول المختلطة الثلاثة (§3.3)،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(O-12): إنشاء المشترك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1"/>
          <w:szCs w:val="21"/>
          <w:rtl/>
        </w:rPr>
        <w:t xml:space="preserve"> وتغيير حالته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(038، ADR 0004)، ولا يدرج المشترك ولا يعدّل رمزه وحالته مباشرة. المشغّلون يدخلون بإجراءات داخل القاعدة على نمط ADR 0002 (</w:t>
      </w:r>
      <w:r>
        <w:rPr>
          <w:rFonts w:ascii="Courier New" w:cs="Courier New" w:eastAsia="Courier New" w:hAnsi="Courier New"/>
          <w:b w:val="false"/>
          <w:bCs w:val="false"/>
          <w:color w:val="1F2937"/>
          <w:sz w:val="18"/>
          <w:szCs w:val="18"/>
          <w:shd w:fill="F1F3F5" w:color="auto" w:val="clear"/>
          <w:rtl/>
        </w:rPr>
        <w:t xml:space="preserve">‎plat.usp_StartOperatorSession‎</w:t>
      </w:r>
      <w:r>
        <w:rPr>
          <w:rFonts w:ascii="Arial" w:cs="Arial" w:eastAsia="Arial" w:hAnsi="Arial"/>
          <w:b w:val="false"/>
          <w:bCs w:val="false"/>
          <w:sz w:val="21"/>
          <w:szCs w:val="21"/>
          <w:rtl/>
        </w:rPr>
        <w:t xml:space="preserve"> وTOTP إلزامي، 036)، وحساباتهم لا تتغير إلا بإجراءات: تمهيد أول مدير عند النشر، والدعوة، والإعداد، والإعادة، والحالة مع بقاء مديرَين نشطين.</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الإجراء منفّذ (036، ADR 0004):</w:t>
      </w:r>
      <w:r>
        <w:rPr>
          <w:rFonts w:ascii="Arial" w:cs="Arial" w:eastAsia="Arial" w:hAnsi="Arial"/>
          <w:b w:val="false"/>
          <w:bCs w:val="false"/>
          <w:sz w:val="21"/>
          <w:szCs w:val="21"/>
          <w:rtl/>
        </w:rPr>
        <w:t xml:space="preserve"> اتصال الدعم عضو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(ضمن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بلا أعمدة مقيّدة ولا كتابة)، ويربطه </w:t>
      </w:r>
      <w:r>
        <w:rPr>
          <w:rFonts w:ascii="Courier New" w:cs="Courier New" w:eastAsia="Courier New" w:hAnsi="Courier New"/>
          <w:b w:val="false"/>
          <w:bCs w:val="false"/>
          <w:color w:val="1F2937"/>
          <w:sz w:val="18"/>
          <w:szCs w:val="18"/>
          <w:shd w:fill="F1F3F5" w:color="auto" w:val="clear"/>
          <w:rtl/>
        </w:rPr>
        <w:t xml:space="preserve">‎sec.usp_SetSupportContext‎</w:t>
      </w:r>
      <w:r>
        <w:rPr>
          <w:rFonts w:ascii="Arial" w:cs="Arial" w:eastAsia="Arial" w:hAnsi="Arial"/>
          <w:b w:val="false"/>
          <w:bCs w:val="false"/>
          <w:sz w:val="21"/>
          <w:szCs w:val="21"/>
          <w:rtl/>
        </w:rPr>
        <w:t xml:space="preserve"> بمشترك واحد بجلسة مشغّل متحققة بـ MFA ومنحة فعّالة له لا تزيد على 72 ساعة، وفي المشترك المعلّق بمنحة أقدم من التعليق فقط؛ وتسحب القوادح الربط عند إلغاء المنحة أو انتهاء جلسة المشغّل أو تعطيله.</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وفي سجل التدقيق للكتابة فقط: قراءته محصورة في أحداث المنصة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الاختبار T38).</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 وكذلك وحدات الاشتراك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(مملوكة للمنصة ويكتبها مشغّلوها فقط، DR-01) تُقرأ عبر العرض المماثل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بالترشيح نفسه.</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بالمستخدمين والأدوار والصلاحيات ومفتاح تشفيره وشركاته ووحداته. كل خط </w:t>
      </w:r>
      <w:r>
        <w:rPr>
          <w:rFonts w:ascii="Arial" w:cs="Arial" w:eastAsia="Arial" w:hAnsi="Arial"/>
          <w:b/>
          <w:bCs/>
          <w:sz w:val="21"/>
          <w:szCs w:val="21"/>
          <w:rtl/>
        </w:rPr>
        <w:t xml:space="preserve">مفتاح أجنبي فعلي</w:t>
      </w:r>
      <w:r>
        <w:rPr>
          <w:rFonts w:ascii="Arial" w:cs="Arial" w:eastAsia="Arial" w:hAnsi="Arial"/>
          <w:b w:val="false"/>
          <w:bCs w:val="false"/>
          <w:sz w:val="21"/>
          <w:szCs w:val="21"/>
          <w:rtl/>
        </w:rPr>
        <w:t xml:space="preserve"> ويحمل اسم عمود الربط، والجداول مرسومة بمفاتيحها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فقط. عمود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الذي تحمله جداول المشترك كلها وإشارته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لم يُرسم في كل جدول</w:t>
      </w:r>
      <w:r>
        <w:rPr>
          <w:rFonts w:ascii="Arial" w:cs="Arial" w:eastAsia="Arial" w:hAnsi="Arial"/>
          <w:b w:val="false"/>
          <w:bCs w:val="false"/>
          <w:sz w:val="21"/>
          <w:szCs w:val="21"/>
          <w:rtl/>
        </w:rPr>
        <w:t xml:space="preserve"> لتفادي الازدحام، وترد كاملة في جداول المواصفات (§10). الروابط إلى جداول خارج المجموعة لا تُرسم، وتظهر في جدول العلاقات بعمود «مرسوم: لا».</w:t>
      </w:r>
    </w:p>
    <w:p>
      <w:pPr>
        <w:keepNext/>
        <w:bidi/>
        <w:spacing w:after="60" w:before="160"/>
        <w:jc w:val="center"/>
      </w:pPr>
      <w:r>
        <w:drawing>
          <wp:inline distT="0" distB="0" distL="0" distR="0">
            <wp:extent cx="6096000" cy="1362075"/>
            <wp:effectExtent t="0" r="0" b="0" l="0"/>
            <wp:docPr id="1" name="diagrams/erd/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362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48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(161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(36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من يكتب التدقيق (ADR 0007):</w:t>
      </w:r>
      <w:r>
        <w:rPr>
          <w:rFonts w:ascii="Arial" w:cs="Arial" w:eastAsia="Arial" w:hAnsi="Arial"/>
          <w:b w:val="false"/>
          <w:bCs w:val="false"/>
          <w:sz w:val="21"/>
          <w:szCs w:val="21"/>
          <w:rtl/>
        </w:rPr>
        <w:t xml:space="preserve"> إجراءات القاعدة تكتب صفوف أحداثها في معاملة التغيير نفسها عبر الإجراء الداخلي </w:t>
      </w:r>
      <w:r>
        <w:rPr>
          <w:rFonts w:ascii="Courier New" w:cs="Courier New" w:eastAsia="Courier New" w:hAnsi="Courier New"/>
          <w:b w:val="false"/>
          <w:bCs w:val="false"/>
          <w:color w:val="1F2937"/>
          <w:sz w:val="18"/>
          <w:szCs w:val="18"/>
          <w:shd w:fill="F1F3F5" w:color="auto" w:val="clear"/>
          <w:rtl/>
        </w:rPr>
        <w:t xml:space="preserve">‎aud.usp_WriteEvent‎</w:t>
      </w:r>
      <w:r>
        <w:rPr>
          <w:rFonts w:ascii="Arial" w:cs="Arial" w:eastAsia="Arial" w:hAnsi="Arial"/>
          <w:b w:val="false"/>
          <w:bCs w:val="false"/>
          <w:sz w:val="21"/>
          <w:szCs w:val="21"/>
          <w:rtl/>
        </w:rPr>
        <w:t xml:space="preserve"> (029): كل محاولة دخول بقادح على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وتغييرات الحسابات والجلسات (035)، ودخول المشغّلين وحساباتهم وربط الدعم (036)، وربط المهام (037)، والتهيئة وحالة المشترك (038). صفوف المشترك يراها عارض تدقيقه، وصفوف المنصة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للمشغّلين وحدهم، ولا صف يحمل بريدًا أو تجزئة أو رمزًا. ويكتب التطبيق ما يفعله هو: بيانات الخزينة والكشف والتصدير وعرض التدقيق.</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موقع المرساة قرار مفتوح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مسموحًا أو مرفوضًا، مع حدثه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للمشترك نفسه (مرجع إلزامي، DR-12). السبب اختياري يفعّله المشترك (Q-PTY-05).</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2867"/>
        <w:gridCol w:w="1605"/>
        <w:gridCol w:w="2984"/>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 (المرجع + الغرض)</w:t>
            </w:r>
          </w:p>
        </w:tc>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 (المرجع + الغرض)</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الهوية في مخزن خارجي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غرض المفتاح:</w:t>
      </w:r>
      <w:r>
        <w:rPr>
          <w:rFonts w:ascii="Arial" w:cs="Arial" w:eastAsia="Arial" w:hAnsi="Arial"/>
          <w:b w:val="false"/>
          <w:bCs w:val="false"/>
          <w:sz w:val="21"/>
          <w:szCs w:val="21"/>
          <w:rtl/>
        </w:rPr>
        <w:t xml:space="preserve"> بجانب كل مفتاح عمود ثابت للغرض (</w:t>
      </w:r>
      <w:r>
        <w:rPr>
          <w:rFonts w:ascii="Courier New" w:cs="Courier New" w:eastAsia="Courier New" w:hAnsi="Courier New"/>
          <w:b w:val="false"/>
          <w:bCs w:val="false"/>
          <w:color w:val="1F2937"/>
          <w:sz w:val="18"/>
          <w:szCs w:val="18"/>
          <w:shd w:fill="F1F3F5" w:color="auto" w:val="clear"/>
          <w:rtl/>
        </w:rPr>
        <w:t xml:space="preserve">‎EncKeyPurpose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‎HashKeyPurpose = BLIND_INDEX‎</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‎MfaKeyPurpose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‎KeyPurpose = FILE‎</w:t>
      </w:r>
      <w:r>
        <w:rPr>
          <w:rFonts w:ascii="Arial" w:cs="Arial" w:eastAsia="Arial" w:hAnsi="Arial"/>
          <w:b w:val="false"/>
          <w:bCs w:val="false"/>
          <w:sz w:val="21"/>
          <w:szCs w:val="21"/>
          <w:rtl/>
        </w:rPr>
        <w:t xml:space="preserve">)، والمفتاح الأجنبي إليه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الغرض، معرّف المفتاح)‎</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‎sec.TenantKey(TenantId, Purpose, TenantKeyId)‎</w:t>
      </w:r>
      <w:r>
        <w:rPr>
          <w:rFonts w:ascii="Arial" w:cs="Arial" w:eastAsia="Arial" w:hAnsi="Arial"/>
          <w:b w:val="false"/>
          <w:bCs w:val="false"/>
          <w:sz w:val="21"/>
          <w:szCs w:val="21"/>
          <w:rtl/>
        </w:rPr>
        <w:t xml:space="preserve">. لا يمكن بذلك ربط مفتاح فهرسة بعمود تشفير، ولا مفتاح مشترك آخر (DR-02).</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4"/>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4"/>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29 عمودًا موسومة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207"/>
        <w:gridCol w:w="510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5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(763)، والمركّب يمنع العبور بين المشتركين والتجميعات</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متتالي على بيانات الائتمان والتدقيق وKYC</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متتالي واحد فقط في القاعدة: شروط بند ملف الاكتمال مع بندها، والبنود لا تتغير إلا في نسخة مسودة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والنسخة الفعّالة أو المسحوبة لا تعود مسودة (50033). القاعدة R11 ترفض أي حذف متتالي آخر في النموذج (O-13 في erd_open_items، ADR 0006)</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‎041_kyc_profile_versions.sql‎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‎check_grants.py‎</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بلا فجوات</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الطلب والبروفورما يؤخذ داخل معاملة الكتابة نفسها بقفل صف العدّاد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فالتراجع يعيد الرقم والطلب المتزامن ينتظر الالتزام؛ والملغى يبقى «ملغى» بسبب ولا يُعاد؛ وتعريفا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لا يقبلان غير </w:t>
            </w:r>
            <w:r>
              <w:rPr>
                <w:rFonts w:ascii="Courier New" w:cs="Courier New" w:eastAsia="Courier New" w:hAnsi="Courier New"/>
                <w:b w:val="false"/>
                <w:bCs w:val="false"/>
                <w:color w:val="1F2937"/>
                <w:sz w:val="16"/>
                <w:szCs w:val="16"/>
                <w:shd w:fill="F1F3F5" w:color="auto" w:val="clear"/>
                <w:rtl/>
              </w:rPr>
              <w:t xml:space="preserve">‎GAP_FREE‎</w:t>
            </w:r>
            <w:r>
              <w:rPr>
                <w:rFonts w:ascii="Arial" w:cs="Arial" w:eastAsia="Arial" w:hAnsi="Arial"/>
                <w:b w:val="false"/>
                <w:bCs w:val="false"/>
                <w:sz w:val="18"/>
                <w:szCs w:val="18"/>
                <w:rtl/>
              </w:rPr>
              <w:t xml:space="preserve"> (O-12 في erd_open_items، Q-PLT-08)</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(039، ADR 0005)</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1"/>
        <w:bidi/>
      </w:pPr>
      <w:bookmarkStart w:name="_sec24" w:id="24"/>
      <w:r>
        <w:rPr>
          <w:rFonts w:ascii="Arial" w:cs="Arial" w:eastAsia="Arial" w:hAnsi="Arial"/>
          <w:b/>
          <w:bCs/>
          <w:color w:val="1F3A5F"/>
          <w:sz w:val="32"/>
          <w:szCs w:val="32"/>
          <w:rtl/>
        </w:rPr>
        <w:t xml:space="preserve">8. الفهرسة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(196)</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(47)</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مفتاحان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فلا مسارات تعاقب متعددة.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5" w:id="25"/>
      <w:r>
        <w:rPr>
          <w:rFonts w:ascii="Arial" w:cs="Arial" w:eastAsia="Arial" w:hAnsi="Arial"/>
          <w:b/>
          <w:bCs/>
          <w:color w:val="1F3A5F"/>
          <w:sz w:val="32"/>
          <w:szCs w:val="32"/>
          <w:rtl/>
        </w:rPr>
        <w:t xml:space="preserve">9. الأدوار والصلاحيات (على مستوى القاعدة)</w:t>
      </w:r>
      <w:bookmarkEnd w:id="25"/>
    </w:p>
    <w:p>
      <w:pPr>
        <w:pStyle w:val="Heading2"/>
        <w:bidi/>
      </w:pPr>
      <w:bookmarkStart w:name="_sec26" w:id="26"/>
      <w:r>
        <w:rPr>
          <w:rFonts w:ascii="Arial" w:cs="Arial" w:eastAsia="Arial" w:hAnsi="Arial"/>
          <w:b/>
          <w:bCs/>
          <w:color w:val="2B5C8A"/>
          <w:sz w:val="26"/>
          <w:szCs w:val="26"/>
          <w:rtl/>
        </w:rPr>
        <w:t xml:space="preserve">9.1 الأدوار</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3"/>
        <w:gridCol w:w="2249"/>
        <w:gridCol w:w="5712"/>
      </w:tblGrid>
      <w:tr>
        <w:trPr>
          <w:cantSplit/>
          <w:tblHeader/>
        </w:trPr>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‎plat.v_TenantModule‎</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الإجراءات العامة في 030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و035 (خمسة عشر إجراءً، ADR 0003) و039 (</w:t>
            </w: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ADR 0005) و042 (</w:t>
            </w:r>
            <w:r>
              <w:rPr>
                <w:rFonts w:ascii="Courier New" w:cs="Courier New" w:eastAsia="Courier New" w:hAnsi="Courier New"/>
                <w:b w:val="false"/>
                <w:bCs w:val="false"/>
                <w:color w:val="1F2937"/>
                <w:sz w:val="16"/>
                <w:szCs w:val="16"/>
                <w:shd w:fill="F1F3F5" w:color="auto" w:val="clear"/>
                <w:rtl/>
              </w:rPr>
              <w:t xml:space="preserve">‎cfg.usp_RequestDataExport‎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‎cfg.usp_ApproveDataExport‎</w:t>
            </w:r>
            <w:r>
              <w:rPr>
                <w:rFonts w:ascii="Arial" w:cs="Arial" w:eastAsia="Arial" w:hAnsi="Arial"/>
                <w:b w:val="false"/>
                <w:bCs w:val="false"/>
                <w:sz w:val="18"/>
                <w:szCs w:val="18"/>
                <w:rtl/>
              </w:rPr>
              <w:t xml:space="preserve">، ADR 0008) فقط · لا يدرج طلب تصدير ولا يعدّله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042) · لا يكتب العدّادات ولا الأرقام المصدرة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039)، ويربط الرقم بكيانه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المشغّلين والتهيئة وحالة المشترك (036، 038)،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إدراج المشترك والمشغّل وعلى أعمدة الرمز والحالة وبيانات الاعتماد (ADR 0004)</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 (عبر المستخدم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020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فقط؛ تُنفَّذ به إجراءات 030 الأربعة وقوادحها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 ومنح 028 و036 إلى 038 (الإعدادات، المشغّلون وجلساتهم وروابطهم، منح الدعم، قائمة المهام، التهيئة)،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 (FR-PLT-007)</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فقط، فيقرأ مشتركًا واحدًا بمنحة فعّالة (036،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الخلفية (FR-PLT-044)</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‎plat.usp_ListTenantsForJobs‎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 (037، 038)، وإجراءات مهمتي التصدير في 042 (</w:t>
            </w:r>
            <w:r>
              <w:rPr>
                <w:rFonts w:ascii="Courier New" w:cs="Courier New" w:eastAsia="Courier New" w:hAnsi="Courier New"/>
                <w:b w:val="false"/>
                <w:bCs w:val="false"/>
                <w:color w:val="1F2937"/>
                <w:sz w:val="16"/>
                <w:szCs w:val="16"/>
                <w:shd w:fill="F1F3F5" w:color="auto" w:val="clear"/>
                <w:rtl/>
              </w:rPr>
              <w:t xml:space="preserve">‎cfg.usp_StartDataExport‎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‎usp_FinishDataExport‎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‎usp_FailDataExport‎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‎usp_ExpireDataExports‎</w:t>
            </w:r>
            <w:r>
              <w:rPr>
                <w:rFonts w:ascii="Arial" w:cs="Arial" w:eastAsia="Arial" w:hAnsi="Arial"/>
                <w:b w:val="false"/>
                <w:bCs w:val="false"/>
                <w:sz w:val="18"/>
                <w:szCs w:val="18"/>
                <w:rtl/>
              </w:rPr>
              <w:t xml:space="preserve">، ADR 0008)</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(تُحدَّد مع أداة الترحيل O-2)،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4371975"/>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37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7" w:id="27"/>
      <w:r>
        <w:rPr>
          <w:rFonts w:ascii="Arial" w:cs="Arial" w:eastAsia="Arial" w:hAnsi="Arial"/>
          <w:b/>
          <w:bCs/>
          <w:color w:val="2B5C8A"/>
          <w:sz w:val="26"/>
          <w:szCs w:val="26"/>
          <w:rtl/>
        </w:rPr>
        <w:t xml:space="preserve">9.2 من أين تأتي المنح</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733"/>
        <w:gridCol w:w="3131"/>
      </w:tblGrid>
      <w:tr>
        <w:trPr>
          <w:cantSplit/>
          <w:tblHeader/>
        </w:trPr>
        <w:tc>
          <w:tcPr>
            <w:tcW w:type="dxa" w:w="6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29 عمودًا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(204 عبارات </w:t>
            </w:r>
            <w:r>
              <w:rPr>
                <w:rFonts w:ascii="Courier New" w:cs="Courier New" w:eastAsia="Courier New" w:hAnsi="Courier New"/>
                <w:b w:val="false"/>
                <w:bCs w:val="false"/>
                <w:color w:val="1F2937"/>
                <w:sz w:val="16"/>
                <w:szCs w:val="16"/>
                <w:shd w:fill="F1F3F5" w:color="auto" w:val="clear"/>
                <w:rtl/>
              </w:rPr>
              <w:t xml:space="preserve">‎GRANT‎</w:t>
            </w:r>
            <w:r>
              <w:rPr>
                <w:rFonts w:ascii="Arial" w:cs="Arial" w:eastAsia="Arial" w:hAnsi="Arial"/>
                <w:b w:val="false"/>
                <w:bCs w:val="false"/>
                <w:sz w:val="18"/>
                <w:szCs w:val="18"/>
                <w:rtl/>
              </w:rPr>
              <w:t xml:space="preserve">)</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الدخول والربط الأربعة وقوادح السحب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الخاصة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(ADR 0002)</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9.3 التحقق الثابت من الصلاحيات</w:t>
      </w:r>
      <w:bookmarkEnd w:id="2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لا يملك منحًا إلا على الجداول الخمسة التي تحتاجها إجراءات 030.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pStyle w:val="ListParagraph"/>
        <w:numPr>
          <w:ilvl w:val="0"/>
          <w:numId w:val="3"/>
        </w:numPr>
        <w:bidi/>
        <w:spacing w:after="70" w:before="0" w:line="300"/>
      </w:pPr>
      <w:r>
        <w:rPr>
          <w:rFonts w:ascii="Arial" w:cs="Arial" w:eastAsia="Arial" w:hAnsi="Arial"/>
          <w:b/>
          <w:bCs/>
          <w:sz w:val="21"/>
          <w:szCs w:val="21"/>
          <w:rtl/>
        </w:rPr>
        <w:t xml:space="preserve">R11</w:t>
      </w:r>
      <w:r>
        <w:rPr>
          <w:rFonts w:ascii="Arial" w:cs="Arial" w:eastAsia="Arial" w:hAnsi="Arial"/>
          <w:b w:val="false"/>
          <w:bCs w:val="false"/>
          <w:sz w:val="21"/>
          <w:szCs w:val="21"/>
          <w:rtl/>
        </w:rPr>
        <w:t xml:space="preserve"> لا حذف متتالي (</w:t>
      </w:r>
      <w:r>
        <w:rPr>
          <w:rFonts w:ascii="Courier New" w:cs="Courier New" w:eastAsia="Courier New" w:hAnsi="Courier New"/>
          <w:b w:val="false"/>
          <w:bCs w:val="false"/>
          <w:color w:val="1F2937"/>
          <w:sz w:val="18"/>
          <w:szCs w:val="18"/>
          <w:shd w:fill="F1F3F5" w:color="auto" w:val="clear"/>
          <w:rtl/>
        </w:rPr>
        <w:t xml:space="preserve">‎cascade‎</w:t>
      </w:r>
      <w:r>
        <w:rPr>
          <w:rFonts w:ascii="Arial" w:cs="Arial" w:eastAsia="Arial" w:hAnsi="Arial"/>
          <w:b w:val="false"/>
          <w:bCs w:val="false"/>
          <w:sz w:val="21"/>
          <w:szCs w:val="21"/>
          <w:rtl/>
        </w:rPr>
        <w:t xml:space="preserve">) في النموذج إلا على الروابط المسموحة في </w:t>
      </w:r>
      <w:r>
        <w:rPr>
          <w:rFonts w:ascii="Courier New" w:cs="Courier New" w:eastAsia="Courier New" w:hAnsi="Courier New"/>
          <w:b w:val="false"/>
          <w:bCs w:val="false"/>
          <w:color w:val="1F2937"/>
          <w:sz w:val="18"/>
          <w:szCs w:val="18"/>
          <w:shd w:fill="F1F3F5" w:color="auto" w:val="clear"/>
          <w:rtl/>
        </w:rPr>
        <w:t xml:space="preserve">‎CASCADE_ALLOWED‎</w:t>
      </w:r>
      <w:r>
        <w:rPr>
          <w:rFonts w:ascii="Arial" w:cs="Arial" w:eastAsia="Arial" w:hAnsi="Arial"/>
          <w:b w:val="false"/>
          <w:bCs w:val="false"/>
          <w:sz w:val="21"/>
          <w:szCs w:val="21"/>
          <w:rtl/>
        </w:rPr>
        <w:t xml:space="preserve">، وهي اليوم شروط بند ملف الاكتمال وحدها (O-13، ADR 0006).</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29" w:id="29"/>
      <w:r>
        <w:rPr>
          <w:rFonts w:ascii="Arial" w:cs="Arial" w:eastAsia="Arial" w:hAnsi="Arial"/>
          <w:b/>
          <w:bCs/>
          <w:color w:val="2B5C8A"/>
          <w:sz w:val="26"/>
          <w:szCs w:val="26"/>
          <w:rtl/>
        </w:rPr>
        <w:t xml:space="preserve">9.4 قواعد عامة</w:t>
      </w:r>
      <w:bookmarkEnd w:id="29"/>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0" w:id="30"/>
      <w:r>
        <w:rPr>
          <w:rFonts w:ascii="Arial" w:cs="Arial" w:eastAsia="Arial" w:hAnsi="Arial"/>
          <w:b/>
          <w:bCs/>
          <w:color w:val="1F3A5F"/>
          <w:sz w:val="32"/>
          <w:szCs w:val="32"/>
          <w:rtl/>
        </w:rPr>
        <w:t xml:space="preserve">10. خريطة المخططات والجداول</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6978"/>
        <w:gridCol w:w="1443"/>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المخطط</w:t>
            </w:r>
          </w:p>
        </w:tc>
        <w:tc>
          <w:tcPr>
            <w:tcW w:type="dxa" w:w="6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Plan, PlanModule, Tenant, ReservedSubdomain, PlatformOperator, TenantModule, SupportAccessGrant</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AppUser, Role, Permission, RolePermission, UserRole, UserCompanyScope, LoginAttempt, UserSession, MfaRecoveryCode, UserToken, UserPasswordHistory, ExternalIdentity, TenantKey, KeyEvent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AuditLog, SensitiveAccessLog</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 Document, DocumentVersion, DocumentLink</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 SettingDefinition, TenantSetting, NumberSequenceDefinition, NumberSequence, NumberIssue, ExpiryAlertRule, ExpiryAlertLog, DataExportJob, NonWorkingDay, OutboxEvent, JobRun, SeedRun</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Company, CompanyTaxRate, Department, Shareholding, GoverningBody, BodyMember, AuthorityGrant, CompanyProfile, CompanyBranch, CompanyKycFinancialProfile, CompanyExpectedFlow, CompanyWealthSource, CompanyDisclosure, CompanyKeyRelation</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Party, IdentityDocument, Address, ContactMethod, CustomFieldDefinition, PartyCustomField, KycProfile, KycProfileItem, KycProfileItemLegalForm, PartyCompliance, TaxIdentity</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 Country, Currency, Incoterm, UcpArticle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مرجعي</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 — TenantCurrency, InstitutionType, AccountType, LegalEntityType, DocumentType, Position, PowerType, OperationType, OperationTypePowerType, ProductCategory, Product, FeeType, FinancingType, ProductFeeType, ProductFinancingType, FacilityType, LimitType, LimitTypeProduct, CollateralType, CollateralTypeAttribute, ObligationType, BaseRate, BaseRateAlias, BaseRateValue, LookupList, LookupItem</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م4</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Institution, InstitutionUnit, Contact, Relationship, RelationshipContact, RelationshipProduct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BankAccount, FacilityAccount, Signatory, SignatoryAuthority, SignatoryAuthorityJointClass, AuthorityConflict</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م3</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 Facility, FacilityRevision, FacilityDocument, FacilityLender, OutstandingSnapshot, Limit, LimitProductLine, LimitCompanyRule, ProductLineTerm, Utilization, LimitReservation, LimitMovement, ValueConflict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TariffSchedule, TariffItem, TariffTier, PricingRule, PricingTier</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TermType, TermValue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Collateral, CollateralLink, Guarantee, PromissoryNote, PromissoryNoteSigner, InsurancePolicyAssignment, ValuationSchedule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 Obligation, ObligationCompany, ReportingObligation, ReportingInstance, Covenant, CovenantAccount, CovenantTest, ObligationBreach</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LineCatalogItem, LineCatalogItemAlias, FinancialStatement, StatementLine, AccountMonthlyStat, BankFlowEntry, MeasureFormula</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 RequestType, RequestTypeAudience, ExternalPhase, WorkflowTemplate, WorkflowStage, StageApprover, WorkflowTransition, WorkflowStageHook, TemplateField, TemplateAttachmentRule, Request, RequestComment, RequestAttachment, RequestExternalRef, RequestStageInstance, RequestApproval, RequestAction, HookExecution, UserDelegation</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NotificationEventType, NotificationRule, NotificationTemplate, NotificationPreference, DigestBatch, Notification, NotificationDelivery</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 — LcFieldDefinition, LcFieldUcpRef, Counterparty, LcDocumentClause, LcDocumentClauseUcpRef, LcTerms, LcTermsDocument, LcChargesMatrix, LcFormTemplate, LcFormFieldMap, LetterOfCredit, LcExternalRef, LcAmendment, LcDrawing, LcSalesOrder, LcDrawingAllocation, LcDiscrepancy, ProformaInvoice, ProformaLine, LcTermsComparison, LcTermsComparisonLine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القاموس الكامل (عمود بعمود: النوع، الإلزام، الافتراضي، المرجع، الحساسية، الوصف): </w:t>
      </w:r>
      <w:r>
        <w:rPr>
          <w:rFonts w:ascii="Courier New" w:cs="Courier New" w:eastAsia="Courier New" w:hAnsi="Courier New"/>
          <w:b w:val="false"/>
          <w:bCs w:val="false"/>
          <w:color w:val="1F2937"/>
          <w:sz w:val="18"/>
          <w:szCs w:val="18"/>
          <w:shd w:fill="F1F3F5" w:color="auto" w:val="clear"/>
          <w:rtl/>
        </w:rPr>
        <w:t xml:space="preserve">‎21-data-dictionary.md‎</w:t>
      </w:r>
      <w:r>
        <w:rPr>
          <w:rFonts w:ascii="Arial" w:cs="Arial" w:eastAsia="Arial" w:hAnsi="Arial"/>
          <w:b w:val="false"/>
          <w:bCs w:val="false"/>
          <w:sz w:val="21"/>
          <w:szCs w:val="21"/>
          <w:rtl/>
        </w:rPr>
        <w:t xml:space="preserve">. مخططات العلاقات لكل مخطط: </w:t>
      </w:r>
      <w:r>
        <w:rPr>
          <w:rFonts w:ascii="Courier New" w:cs="Courier New" w:eastAsia="Courier New" w:hAnsi="Courier New"/>
          <w:b w:val="false"/>
          <w:bCs w:val="false"/>
          <w:color w:val="1F2937"/>
          <w:sz w:val="18"/>
          <w:szCs w:val="18"/>
          <w:shd w:fill="F1F3F5" w:color="auto" w:val="clear"/>
          <w:rtl/>
        </w:rPr>
        <w:t xml:space="preserve">‎22-erd-by-schema.md‎</w:t>
      </w:r>
      <w:r>
        <w:rPr>
          <w:rFonts w:ascii="Arial" w:cs="Arial" w:eastAsia="Arial" w:hAnsi="Arial"/>
          <w:b w:val="false"/>
          <w:bCs w:val="false"/>
          <w:sz w:val="21"/>
          <w:szCs w:val="21"/>
          <w:rtl/>
        </w:rPr>
        <w:t xml:space="preserve">.</w:t>
      </w:r>
    </w:p>
    <w:p>
      <w:pPr>
        <w:pStyle w:val="Heading2"/>
        <w:bidi/>
      </w:pPr>
      <w:bookmarkStart w:name="_sec31" w:id="31"/>
      <w:r>
        <w:rPr>
          <w:rFonts w:ascii="Arial" w:cs="Arial" w:eastAsia="Arial" w:hAnsi="Arial"/>
          <w:b/>
          <w:bCs/>
          <w:color w:val="2B5C8A"/>
          <w:sz w:val="26"/>
          <w:szCs w:val="26"/>
          <w:rtl/>
        </w:rPr>
        <w:t xml:space="preserve">10.1 تغطية المتطلبات</w:t>
      </w:r>
      <w:bookmarkEnd w:id="31"/>
    </w:p>
    <w:p>
      <w:pPr>
        <w:bidi/>
        <w:spacing w:after="110" w:before="0" w:line="312"/>
      </w:pPr>
      <w:r>
        <w:rPr>
          <w:rFonts w:ascii="Arial" w:cs="Arial" w:eastAsia="Arial" w:hAnsi="Arial"/>
          <w:b w:val="false"/>
          <w:bCs w:val="false"/>
          <w:sz w:val="21"/>
          <w:szCs w:val="21"/>
          <w:rtl/>
        </w:rPr>
        <w:t xml:space="preserve">فُحص آليًا أن كل كيان مسمّى في القسم 6 من المواصفات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1"/>
          <w:szCs w:val="21"/>
          <w:rtl/>
        </w:rPr>
        <w:t xml:space="preserve">) له جدول في النموذج؛ لم يظهر كيان ناقص. تعيين المتطلبات إلى الجداول مرجعه تعليقات النماذج (</w:t>
      </w:r>
      <w:r>
        <w:rPr>
          <w:rFonts w:ascii="Courier New" w:cs="Courier New" w:eastAsia="Courier New" w:hAnsi="Courier New"/>
          <w:b w:val="false"/>
          <w:bCs w:val="false"/>
          <w:color w:val="1F2937"/>
          <w:sz w:val="18"/>
          <w:szCs w:val="18"/>
          <w:shd w:fill="F1F3F5" w:color="auto" w:val="clear"/>
          <w:rtl/>
        </w:rPr>
        <w:t xml:space="preserve">‎FR-…‎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‎BR-…‎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‎V-…‎</w:t>
      </w:r>
      <w:r>
        <w:rPr>
          <w:rFonts w:ascii="Arial" w:cs="Arial" w:eastAsia="Arial" w:hAnsi="Arial"/>
          <w:b w:val="false"/>
          <w:bCs w:val="false"/>
          <w:sz w:val="21"/>
          <w:szCs w:val="21"/>
          <w:rtl/>
        </w:rPr>
        <w:t xml:space="preserve"> في كل جدول وعمود).</w:t>
      </w:r>
    </w:p>
    <w:p>
      <w:pPr>
        <w:pStyle w:val="Heading2"/>
        <w:bidi/>
      </w:pPr>
      <w:bookmarkStart w:name="_sec32" w:id="32"/>
      <w:r>
        <w:rPr>
          <w:rFonts w:ascii="Arial" w:cs="Arial" w:eastAsia="Arial" w:hAnsi="Arial"/>
          <w:b/>
          <w:bCs/>
          <w:color w:val="2B5C8A"/>
          <w:sz w:val="26"/>
          <w:szCs w:val="26"/>
          <w:rtl/>
        </w:rPr>
        <w:t xml:space="preserve">10.2 مخططات العلاقات حسب الوحدة</w:t>
      </w:r>
      <w:bookmarkEnd w:id="32"/>
    </w:p>
    <w:p>
      <w:pPr>
        <w:bidi/>
        <w:spacing w:after="110" w:before="0" w:line="312"/>
      </w:pPr>
      <w:r>
        <w:rPr>
          <w:rFonts w:ascii="Arial" w:cs="Arial" w:eastAsia="Arial" w:hAnsi="Arial"/>
          <w:b w:val="false"/>
          <w:bCs w:val="false"/>
          <w:sz w:val="21"/>
          <w:szCs w:val="21"/>
          <w:rtl/>
        </w:rPr>
        <w:t xml:space="preserve">تُقرأ الصور كما يلي: كل صندوق جدول، وتحته مفتاحه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ومفاتيحه الأجنبية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مع الجدول الذي يشير إليه، والأسهم هي المفاتيح الأجنبية الفعلية ويُكتب اسم العمود على السهم. الصورة تعرض جداول المجموعة فقط (حتى أربعة جداول)، والعلاقات إلى جداول خارجها تُقرأ من جدول العلاقات.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(انظر §3.7)، ولم يُرسم ذلك في كل صورة.</w:t>
      </w:r>
    </w:p>
    <w:p>
      <w:pPr>
        <w:pStyle w:val="Heading3"/>
        <w:bidi/>
      </w:pPr>
      <w:bookmarkStart w:name="_sec33" w:id="33"/>
      <w:r>
        <w:rPr>
          <w:rFonts w:ascii="Arial" w:cs="Arial" w:eastAsia="Arial" w:hAnsi="Arial"/>
          <w:b/>
          <w:bCs/>
          <w:color w:val="2B5C8A"/>
          <w:sz w:val="23"/>
          <w:szCs w:val="23"/>
          <w:rtl/>
        </w:rPr>
        <w:t xml:space="preserve">الهوية والمشترك والصلاحيات (م0)</w:t>
      </w:r>
      <w:bookmarkEnd w:id="33"/>
    </w:p>
    <w:p>
      <w:pPr>
        <w:keepNext/>
        <w:bidi/>
        <w:spacing w:after="60" w:before="160"/>
        <w:jc w:val="center"/>
      </w:pPr>
      <w:r>
        <w:drawing>
          <wp:inline distT="0" distB="0" distL="0" distR="0">
            <wp:extent cx="5114925" cy="8191500"/>
            <wp:effectExtent t="0" r="0" b="0" l="0"/>
            <wp:docPr id="1" name="diagrams/erd_m0_identity.png" descr="م0: الهوية والمشترك والصلاحيات" title="م0: الهوية والمشترك والصلاحي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149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الهوية والمشترك والصلاحيات</w:t>
      </w:r>
    </w:p>
    <w:p>
      <w:pPr>
        <w:pStyle w:val="Heading3"/>
        <w:bidi/>
      </w:pPr>
      <w:bookmarkStart w:name="_sec34" w:id="34"/>
      <w:r>
        <w:rPr>
          <w:rFonts w:ascii="Arial" w:cs="Arial" w:eastAsia="Arial" w:hAnsi="Arial"/>
          <w:b/>
          <w:bCs/>
          <w:color w:val="2B5C8A"/>
          <w:sz w:val="23"/>
          <w:szCs w:val="23"/>
          <w:rtl/>
        </w:rPr>
        <w:t xml:space="preserve">التدقيق والمستندات والإعدادات (م0)</w:t>
      </w:r>
      <w:bookmarkEnd w:id="34"/>
    </w:p>
    <w:p>
      <w:pPr>
        <w:keepNext/>
        <w:bidi/>
        <w:spacing w:after="60" w:before="160"/>
        <w:jc w:val="center"/>
      </w:pPr>
      <w:r>
        <w:drawing>
          <wp:inline distT="0" distB="0" distL="0" distR="0">
            <wp:extent cx="6096000" cy="6724650"/>
            <wp:effectExtent t="0" r="0" b="0" l="0"/>
            <wp:docPr id="1" name="diagrams/erd_m0_platform.png" descr="م0: التدقيق والمستندات والإعدادات" title="م0: التدقيق والمستندات والإعداد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6724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التدقيق والمستندات والإعدادات</w:t>
      </w:r>
    </w:p>
    <w:p>
      <w:pPr>
        <w:pStyle w:val="Heading3"/>
        <w:bidi/>
      </w:pPr>
      <w:bookmarkStart w:name="_sec35" w:id="35"/>
      <w:r>
        <w:rPr>
          <w:rFonts w:ascii="Arial" w:cs="Arial" w:eastAsia="Arial" w:hAnsi="Arial"/>
          <w:b/>
          <w:bCs/>
          <w:color w:val="2B5C8A"/>
          <w:sz w:val="23"/>
          <w:szCs w:val="23"/>
          <w:rtl/>
        </w:rPr>
        <w:t xml:space="preserve">الهيكل المؤسسي والأشخاص (م1)</w:t>
      </w:r>
      <w:bookmarkEnd w:id="35"/>
    </w:p>
    <w:p>
      <w:pPr>
        <w:keepNext/>
        <w:bidi/>
        <w:spacing w:after="60" w:before="160"/>
        <w:jc w:val="center"/>
      </w:pPr>
      <w:r>
        <w:drawing>
          <wp:inline distT="0" distB="0" distL="0" distR="0">
            <wp:extent cx="6096000" cy="8162925"/>
            <wp:effectExtent t="0" r="0" b="0" l="0"/>
            <wp:docPr id="1" name="diagrams/erd_m1_org.png" descr="م1: الهيكل المؤسسي والأشخاص" title="م1: الهيكل المؤسسي والأشخا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الهيكل المؤسسي والأشخاص</w:t>
      </w:r>
    </w:p>
    <w:p>
      <w:pPr>
        <w:pStyle w:val="Heading3"/>
        <w:bidi/>
      </w:pPr>
      <w:bookmarkStart w:name="_sec36" w:id="36"/>
      <w:r>
        <w:rPr>
          <w:rFonts w:ascii="Arial" w:cs="Arial" w:eastAsia="Arial" w:hAnsi="Arial"/>
          <w:b/>
          <w:bCs/>
          <w:color w:val="2B5C8A"/>
          <w:sz w:val="23"/>
          <w:szCs w:val="23"/>
          <w:rtl/>
        </w:rPr>
        <w:t xml:space="preserve">المنشآت والحسابات والمفوّضون (م2–م3)</w:t>
      </w:r>
      <w:bookmarkEnd w:id="36"/>
    </w:p>
    <w:p>
      <w:pPr>
        <w:keepNext/>
        <w:bidi/>
        <w:spacing w:after="60" w:before="160"/>
        <w:jc w:val="center"/>
      </w:pPr>
      <w:r>
        <w:drawing>
          <wp:inline distT="0" distB="0" distL="0" distR="0">
            <wp:extent cx="6096000" cy="4638675"/>
            <wp:effectExtent t="0" r="0" b="0" l="0"/>
            <wp:docPr id="1" name="diagrams/erd_m2_3_accounts.png" descr="م2–م3: المنشآت والحسابات والمفوّضون" title="م2–م3: المنشآت والحسابات والمفوّضو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4638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المنشآت والحسابات والمفوّضون</w:t>
      </w:r>
    </w:p>
    <w:p>
      <w:pPr>
        <w:pStyle w:val="Heading3"/>
        <w:bidi/>
      </w:pPr>
      <w:bookmarkStart w:name="_sec37" w:id="37"/>
      <w:r>
        <w:rPr>
          <w:rFonts w:ascii="Arial" w:cs="Arial" w:eastAsia="Arial" w:hAnsi="Arial"/>
          <w:b/>
          <w:bCs/>
          <w:color w:val="2B5C8A"/>
          <w:sz w:val="23"/>
          <w:szCs w:val="23"/>
          <w:rtl/>
        </w:rPr>
        <w:t xml:space="preserve">الكتالوجات (م4)</w:t>
      </w:r>
      <w:bookmarkEnd w:id="37"/>
    </w:p>
    <w:p>
      <w:pPr>
        <w:keepNext/>
        <w:bidi/>
        <w:spacing w:after="60" w:before="160"/>
        <w:jc w:val="center"/>
      </w:pPr>
      <w:r>
        <w:drawing>
          <wp:inline distT="0" distB="0" distL="0" distR="0">
            <wp:extent cx="4581525" cy="8191500"/>
            <wp:effectExtent t="0" r="0" b="0" l="0"/>
            <wp:docPr id="1" name="diagrams/erd_m4_catalogs.png" descr="م4: الكتالوجات" title="م4: الكتالوج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815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الكتالوجات</w:t>
      </w:r>
    </w:p>
    <w:p>
      <w:pPr>
        <w:pStyle w:val="Heading3"/>
        <w:bidi/>
      </w:pPr>
      <w:bookmarkStart w:name="_sec38" w:id="38"/>
      <w:r>
        <w:rPr>
          <w:rFonts w:ascii="Arial" w:cs="Arial" w:eastAsia="Arial" w:hAnsi="Arial"/>
          <w:b/>
          <w:bCs/>
          <w:color w:val="2B5C8A"/>
          <w:sz w:val="23"/>
          <w:szCs w:val="23"/>
          <w:rtl/>
        </w:rPr>
        <w:t xml:space="preserve">التسهيلات والحدود (م5)</w:t>
      </w:r>
      <w:bookmarkEnd w:id="38"/>
    </w:p>
    <w:p>
      <w:pPr>
        <w:keepNext/>
        <w:bidi/>
        <w:spacing w:after="60" w:before="160"/>
        <w:jc w:val="center"/>
      </w:pPr>
      <w:r>
        <w:drawing>
          <wp:inline distT="0" distB="0" distL="0" distR="0">
            <wp:extent cx="6096000" cy="4791075"/>
            <wp:effectExtent t="0" r="0" b="0" l="0"/>
            <wp:docPr id="1" name="diagrams/erd_m5_facilities.png" descr="م5: التسهيلات والحدود" title="م5: التسهيلات والحدو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4791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التسهيلات والحدود</w:t>
      </w:r>
    </w:p>
    <w:p>
      <w:pPr>
        <w:pStyle w:val="Heading3"/>
        <w:bidi/>
      </w:pPr>
      <w:bookmarkStart w:name="_sec39" w:id="39"/>
      <w:r>
        <w:rPr>
          <w:rFonts w:ascii="Arial" w:cs="Arial" w:eastAsia="Arial" w:hAnsi="Arial"/>
          <w:b/>
          <w:bCs/>
          <w:color w:val="2B5C8A"/>
          <w:sz w:val="23"/>
          <w:szCs w:val="23"/>
          <w:rtl/>
        </w:rPr>
        <w:t xml:space="preserve">التسعير والتعرفة وشروط المقارنة (م5)</w:t>
      </w:r>
      <w:bookmarkEnd w:id="39"/>
    </w:p>
    <w:p>
      <w:pPr>
        <w:keepNext/>
        <w:bidi/>
        <w:spacing w:after="60" w:before="160"/>
        <w:jc w:val="center"/>
      </w:pPr>
      <w:r>
        <w:drawing>
          <wp:inline distT="0" distB="0" distL="0" distR="0">
            <wp:extent cx="6096000" cy="5181600"/>
            <wp:effectExtent t="0" r="0" b="0" l="0"/>
            <wp:docPr id="1" name="diagrams/erd_m5_pricing.png" descr="م5: التسعير والتعرفة وشروط المقارنة" title="م5: التسعير والتعرفة وشروط المقار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51816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التسعير والتعرفة وشروط المقارنة</w:t>
      </w:r>
    </w:p>
    <w:p>
      <w:pPr>
        <w:pStyle w:val="Heading3"/>
        <w:bidi/>
      </w:pPr>
      <w:bookmarkStart w:name="_sec40" w:id="40"/>
      <w:r>
        <w:rPr>
          <w:rFonts w:ascii="Arial" w:cs="Arial" w:eastAsia="Arial" w:hAnsi="Arial"/>
          <w:b/>
          <w:bCs/>
          <w:color w:val="2B5C8A"/>
          <w:sz w:val="23"/>
          <w:szCs w:val="23"/>
          <w:rtl/>
        </w:rPr>
        <w:t xml:space="preserve">الضمانات (م5)</w:t>
      </w:r>
      <w:bookmarkEnd w:id="40"/>
    </w:p>
    <w:p>
      <w:pPr>
        <w:keepNext/>
        <w:bidi/>
        <w:spacing w:after="60" w:before="160"/>
        <w:jc w:val="center"/>
      </w:pPr>
      <w:r>
        <w:drawing>
          <wp:inline distT="0" distB="0" distL="0" distR="0">
            <wp:extent cx="6096000" cy="4067175"/>
            <wp:effectExtent t="0" r="0" b="0" l="0"/>
            <wp:docPr id="1" name="diagrams/erd_m5_collateral.png" descr="م5: الضمانات" title="م5: الضمان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4067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الضمانات</w:t>
      </w:r>
    </w:p>
    <w:p>
      <w:pPr>
        <w:pStyle w:val="Heading3"/>
        <w:bidi/>
      </w:pPr>
      <w:bookmarkStart w:name="_sec41" w:id="41"/>
      <w:r>
        <w:rPr>
          <w:rFonts w:ascii="Arial" w:cs="Arial" w:eastAsia="Arial" w:hAnsi="Arial"/>
          <w:b/>
          <w:bCs/>
          <w:color w:val="2B5C8A"/>
          <w:sz w:val="23"/>
          <w:szCs w:val="23"/>
          <w:rtl/>
        </w:rPr>
        <w:t xml:space="preserve">الالتزامات والبيانات المالية (م5)</w:t>
      </w:r>
      <w:bookmarkEnd w:id="41"/>
    </w:p>
    <w:p>
      <w:pPr>
        <w:keepNext/>
        <w:bidi/>
        <w:spacing w:after="60" w:before="160"/>
        <w:jc w:val="center"/>
      </w:pPr>
      <w:r>
        <w:drawing>
          <wp:inline distT="0" distB="0" distL="0" distR="0">
            <wp:extent cx="6096000" cy="6219825"/>
            <wp:effectExtent t="0" r="0" b="0" l="0"/>
            <wp:docPr id="1" name="diagrams/erd_m5_obligations.png" descr="م5: الالتزامات والبيانات المالية" title="م5: الالتزامات والبيانات المالي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62198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الالتزامات والبيانات المالية</w:t>
      </w:r>
    </w:p>
    <w:p>
      <w:pPr>
        <w:pStyle w:val="Heading3"/>
        <w:bidi/>
      </w:pPr>
      <w:bookmarkStart w:name="_sec42" w:id="42"/>
      <w:r>
        <w:rPr>
          <w:rFonts w:ascii="Arial" w:cs="Arial" w:eastAsia="Arial" w:hAnsi="Arial"/>
          <w:b/>
          <w:bCs/>
          <w:color w:val="2B5C8A"/>
          <w:sz w:val="23"/>
          <w:szCs w:val="23"/>
          <w:rtl/>
        </w:rPr>
        <w:t xml:space="preserve">محرك الطلبات ودورات العمل (م6)</w:t>
      </w:r>
      <w:bookmarkEnd w:id="42"/>
    </w:p>
    <w:p>
      <w:pPr>
        <w:keepNext/>
        <w:bidi/>
        <w:spacing w:after="60" w:before="160"/>
        <w:jc w:val="center"/>
      </w:pPr>
      <w:r>
        <w:drawing>
          <wp:inline distT="0" distB="0" distL="0" distR="0">
            <wp:extent cx="6096000" cy="7172325"/>
            <wp:effectExtent t="0" r="0" b="0" l="0"/>
            <wp:docPr id="1" name="diagrams/erd_m6_workflow.png" descr="م6: محرك الطلبات ودورات العمل" title="م6: محرك الطلبات ودورات العم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7172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محرك الطلبات ودورات العمل</w:t>
      </w:r>
    </w:p>
    <w:p>
      <w:pPr>
        <w:pStyle w:val="Heading3"/>
        <w:bidi/>
      </w:pPr>
      <w:bookmarkStart w:name="_sec43" w:id="43"/>
      <w:r>
        <w:rPr>
          <w:rFonts w:ascii="Arial" w:cs="Arial" w:eastAsia="Arial" w:hAnsi="Arial"/>
          <w:b/>
          <w:bCs/>
          <w:color w:val="2B5C8A"/>
          <w:sz w:val="23"/>
          <w:szCs w:val="23"/>
          <w:rtl/>
        </w:rPr>
        <w:t xml:space="preserve">الإشعارات (م6)</w:t>
      </w:r>
      <w:bookmarkEnd w:id="43"/>
    </w:p>
    <w:p>
      <w:pPr>
        <w:keepNext/>
        <w:bidi/>
        <w:spacing w:after="60" w:before="160"/>
        <w:jc w:val="center"/>
      </w:pPr>
      <w:r>
        <w:drawing>
          <wp:inline distT="0" distB="0" distL="0" distR="0">
            <wp:extent cx="6096000" cy="4448175"/>
            <wp:effectExtent t="0" r="0" b="0" l="0"/>
            <wp:docPr id="1" name="diagrams/erd_m6_notifications.png" descr="م6: الإشعارات" title="م6: الإشعار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4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الإشعارات</w:t>
      </w:r>
    </w:p>
    <w:p>
      <w:pPr>
        <w:pStyle w:val="Heading3"/>
        <w:bidi/>
      </w:pPr>
      <w:bookmarkStart w:name="_sec44" w:id="44"/>
      <w:r>
        <w:rPr>
          <w:rFonts w:ascii="Arial" w:cs="Arial" w:eastAsia="Arial" w:hAnsi="Arial"/>
          <w:b/>
          <w:bCs/>
          <w:color w:val="2B5C8A"/>
          <w:sz w:val="23"/>
          <w:szCs w:val="23"/>
          <w:rtl/>
        </w:rPr>
        <w:t xml:space="preserve">الاعتمادات المستندية والبروفورما (م7/م8)</w:t>
      </w:r>
      <w:bookmarkEnd w:id="44"/>
    </w:p>
    <w:p>
      <w:pPr>
        <w:keepNext/>
        <w:bidi/>
        <w:spacing w:after="60" w:before="160"/>
        <w:jc w:val="center"/>
      </w:pPr>
      <w:r>
        <w:drawing>
          <wp:inline distT="0" distB="0" distL="0" distR="0">
            <wp:extent cx="6096000" cy="6781800"/>
            <wp:effectExtent t="0" r="0" b="0" l="0"/>
            <wp:docPr id="1" name="diagrams/erd_m7_8_lc.png" descr="م7/م8: الاعتمادات المستندية والبروفورما" title="م7/م8: الاعتمادات المستندية والبروفورم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781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الاعتمادات المستندية والبروفورما</w:t>
      </w:r>
    </w:p>
    <w:p>
      <w:pPr>
        <w:pStyle w:val="Heading1"/>
        <w:bidi/>
      </w:pPr>
      <w:bookmarkStart w:name="_sec45" w:id="45"/>
      <w:r>
        <w:rPr>
          <w:rFonts w:ascii="Arial" w:cs="Arial" w:eastAsia="Arial" w:hAnsi="Arial"/>
          <w:b/>
          <w:bCs/>
          <w:color w:val="1F3A5F"/>
          <w:sz w:val="32"/>
          <w:szCs w:val="32"/>
          <w:rtl/>
        </w:rPr>
        <w:t xml:space="preserve">11. أنماط التصميم للمجالات الرئيسية</w:t>
      </w:r>
      <w:bookmarkEnd w:id="4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6"/>
        <w:gridCol w:w="8038"/>
      </w:tblGrid>
      <w:tr>
        <w:trPr>
          <w:cantSplit/>
          <w:tblHeader/>
        </w:trPr>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46" w:id="46"/>
      <w:r>
        <w:rPr>
          <w:rFonts w:ascii="Arial" w:cs="Arial" w:eastAsia="Arial" w:hAnsi="Arial"/>
          <w:b/>
          <w:bCs/>
          <w:color w:val="2B5C8A"/>
          <w:sz w:val="26"/>
          <w:szCs w:val="26"/>
          <w:rtl/>
        </w:rPr>
        <w:t xml:space="preserve">11.1 إقفال دورة العمل بيد إدارة الخزينة (C-7)</w:t>
      </w:r>
      <w:bookmarkEnd w:id="46"/>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7"/>
        <w:gridCol w:w="5030"/>
        <w:gridCol w:w="2127"/>
      </w:tblGrid>
      <w:tr>
        <w:trPr>
          <w:cantSplit/>
          <w:tblHeader/>
        </w:trPr>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(قرار المالك 2026-10-12، DQ-F08-2)</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كـ«تحت الإجراء»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 حتى الإقفال (DQ-F08-5)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عُدّلت المواصفة 13</w:t>
      </w:r>
      <w:r>
        <w:rPr>
          <w:rFonts w:ascii="Arial" w:cs="Arial" w:eastAsia="Arial" w:hAnsi="Arial"/>
          <w:b w:val="false"/>
          <w:bCs w:val="false"/>
          <w:sz w:val="21"/>
          <w:szCs w:val="21"/>
          <w:rtl/>
        </w:rPr>
        <w:t xml:space="preserve"> بعد اعتماد المالك (2026-10-12، DQ-F08-1؛ O-10 محلول): BR-WFL-027 وFR-WFL-042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ومخطط الحالات والحدث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وصار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 إجراء خروج للمثيل النهائي في </w:t>
      </w:r>
      <w:r>
        <w:rPr>
          <w:rFonts w:ascii="Courier New" w:cs="Courier New" w:eastAsia="Courier New" w:hAnsi="Courier New"/>
          <w:b w:val="false"/>
          <w:bCs w:val="false"/>
          <w:color w:val="1F2937"/>
          <w:sz w:val="18"/>
          <w:szCs w:val="18"/>
          <w:shd w:fill="F1F3F5" w:color="auto" w:val="clear"/>
          <w:rtl/>
        </w:rPr>
        <w:t xml:space="preserve">‎wfl.RequestStageInstance‎</w:t>
      </w:r>
      <w:r>
        <w:rPr>
          <w:rFonts w:ascii="Arial" w:cs="Arial" w:eastAsia="Arial" w:hAnsi="Arial"/>
          <w:b w:val="false"/>
          <w:bCs w:val="false"/>
          <w:sz w:val="21"/>
          <w:szCs w:val="21"/>
          <w:rtl/>
        </w:rPr>
        <w:t xml:space="preserve"> (DQ-F08-6).</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2"/>
        <w:bidi/>
      </w:pPr>
      <w:bookmarkStart w:name="_sec47" w:id="47"/>
      <w:r>
        <w:rPr>
          <w:rFonts w:ascii="Arial" w:cs="Arial" w:eastAsia="Arial" w:hAnsi="Arial"/>
          <w:b/>
          <w:bCs/>
          <w:color w:val="2B5C8A"/>
          <w:sz w:val="26"/>
          <w:szCs w:val="26"/>
          <w:rtl/>
        </w:rPr>
        <w:t xml:space="preserve">11.2 الملكية المتعددة والمراجع المركّبة (DR-04 · DR-06 · DR-09 · DR-10)</w:t>
      </w:r>
      <w:bookmarkEnd w:id="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4932"/>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(قبل الإصلاح)</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 المعتمد</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أو جهة اتصال مالكها متعدد الأشكال (</w:t>
            </w:r>
            <w:r>
              <w:rPr>
                <w:rFonts w:ascii="Courier New" w:cs="Courier New" w:eastAsia="Courier New" w:hAnsi="Courier New"/>
                <w:b w:val="false"/>
                <w:bCs w:val="false"/>
                <w:color w:val="1F2937"/>
                <w:sz w:val="16"/>
                <w:szCs w:val="16"/>
                <w:shd w:fill="F1F3F5" w:color="auto" w:val="clear"/>
                <w:rtl/>
              </w:rPr>
              <w:t xml:space="preserve">‎OwnerType‎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‎OwnerId‎</w:t>
            </w:r>
            <w:r>
              <w:rPr>
                <w:rFonts w:ascii="Arial" w:cs="Arial" w:eastAsia="Arial" w:hAnsi="Arial"/>
                <w:b w:val="false"/>
                <w:bCs w:val="false"/>
                <w:sz w:val="18"/>
                <w:szCs w:val="18"/>
                <w:rtl/>
              </w:rPr>
              <w:t xml:space="preserve">) لا يحميه مفتاح أجنبي (DR-04)</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أقواس خارجية: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‎InstitutionId‎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‎ContactId‎</w:t>
            </w:r>
            <w:r>
              <w:rPr>
                <w:rFonts w:ascii="Arial" w:cs="Arial" w:eastAsia="Arial" w:hAnsi="Arial"/>
                <w:b w:val="false"/>
                <w:bCs w:val="false"/>
                <w:sz w:val="18"/>
                <w:szCs w:val="18"/>
                <w:rtl/>
              </w:rPr>
              <w:t xml:space="preserve"> مفاتيح أجنبية فعلية اختيارية،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يفرض </w:t>
            </w:r>
            <w:r>
              <w:rPr>
                <w:rFonts w:ascii="Arial" w:cs="Arial" w:eastAsia="Arial" w:hAnsi="Arial"/>
                <w:b/>
                <w:bCs/>
                <w:sz w:val="18"/>
                <w:szCs w:val="18"/>
                <w:rtl/>
              </w:rPr>
              <w:t xml:space="preserve">عمودًا واحدًا فقط</w:t>
            </w:r>
            <w:r>
              <w:rPr>
                <w:rFonts w:ascii="Arial" w:cs="Arial" w:eastAsia="Arial" w:hAnsi="Arial"/>
                <w:b w:val="false"/>
                <w:bCs w:val="false"/>
                <w:sz w:val="18"/>
                <w:szCs w:val="18"/>
                <w:rtl/>
              </w:rPr>
              <w:t xml:space="preserve"> غير فارغ، وفرادة مصفّاة لكل قوس</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‎PricingRule.ScopeLimitProductLineId‎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‎TermValue.LimitProductLineId‎</w:t>
            </w:r>
            <w:r>
              <w:rPr>
                <w:rFonts w:ascii="Arial" w:cs="Arial" w:eastAsia="Arial" w:hAnsi="Arial"/>
                <w:b w:val="false"/>
                <w:bCs w:val="false"/>
                <w:sz w:val="18"/>
                <w:szCs w:val="18"/>
                <w:rtl/>
              </w:rPr>
              <w:t xml:space="preserve"> تُربط بخط المنتج وحده، فيجوز أن يخص خط منتج حدًا آخر (DR-06)</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بالتسهيل والحد: </w:t>
            </w:r>
            <w:r>
              <w:rPr>
                <w:rFonts w:ascii="Courier New" w:cs="Courier New" w:eastAsia="Courier New" w:hAnsi="Courier New"/>
                <w:b w:val="false"/>
                <w:bCs w:val="false"/>
                <w:color w:val="1F2937"/>
                <w:sz w:val="16"/>
                <w:szCs w:val="16"/>
                <w:shd w:fill="F1F3F5" w:color="auto" w:val="clear"/>
                <w:rtl/>
              </w:rPr>
              <w:t xml:space="preserve">‎via=FacilityId,ScopeLimitId&gt;LimitId‎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‎via=FacilityId,LimitId‎</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r>
              <w:rPr>
                <w:rFonts w:ascii="Arial" w:cs="Arial" w:eastAsia="Arial" w:hAnsi="Arial"/>
                <w:b w:val="false"/>
                <w:bCs w:val="false"/>
                <w:sz w:val="18"/>
                <w:szCs w:val="18"/>
                <w:rtl/>
              </w:rPr>
              <w:t xml:space="preserve"> لا يربط المرحلة بقالب الطلب الذي تنتمي إليه (DR-09)</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‎TemplateId‎</w:t>
            </w:r>
            <w:r>
              <w:rPr>
                <w:rFonts w:ascii="Arial" w:cs="Arial" w:eastAsia="Arial" w:hAnsi="Arial"/>
                <w:b w:val="false"/>
                <w:bCs w:val="false"/>
                <w:sz w:val="18"/>
                <w:szCs w:val="18"/>
                <w:rtl/>
              </w:rPr>
              <w:t xml:space="preserve"> إلزامي، و</w:t>
            </w:r>
            <w:r>
              <w:rPr>
                <w:rFonts w:ascii="Courier New" w:cs="Courier New" w:eastAsia="Courier New" w:hAnsi="Courier New"/>
                <w:b w:val="false"/>
                <w:bCs w:val="false"/>
                <w:color w:val="1F2937"/>
                <w:sz w:val="16"/>
                <w:szCs w:val="16"/>
                <w:shd w:fill="F1F3F5" w:color="auto" w:val="clear"/>
                <w:rtl/>
              </w:rPr>
              <w:t xml:space="preserve">‎StageId‎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‎ResumeStageId‎</w:t>
            </w:r>
            <w:r>
              <w:rPr>
                <w:rFonts w:ascii="Arial" w:cs="Arial" w:eastAsia="Arial" w:hAnsi="Arial"/>
                <w:b w:val="false"/>
                <w:bCs w:val="false"/>
                <w:sz w:val="18"/>
                <w:szCs w:val="18"/>
                <w:rtl/>
              </w:rPr>
              <w:t xml:space="preserve"> مركّبان به: لا تُنفَّذ مرحلة من قالب آخر</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‎lc.LcSalesOrder‎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‎LcDrawing‎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‎LcAmendment‎</w:t>
            </w:r>
            <w:r>
              <w:rPr>
                <w:rFonts w:ascii="Arial" w:cs="Arial" w:eastAsia="Arial" w:hAnsi="Arial"/>
                <w:b w:val="false"/>
                <w:bCs w:val="false"/>
                <w:sz w:val="18"/>
                <w:szCs w:val="18"/>
                <w:rtl/>
              </w:rPr>
              <w:t xml:space="preserve"> لا تربط الطلب بخطاب الاعتماد أو بالطلب الآخر في الشركة نفسها (DR-10)</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بـ</w:t>
            </w:r>
            <w:r>
              <w:rPr>
                <w:rFonts w:ascii="Courier New" w:cs="Courier New" w:eastAsia="Courier New" w:hAnsi="Courier New"/>
                <w:b w:val="false"/>
                <w:bCs w:val="false"/>
                <w:color w:val="1F2937"/>
                <w:sz w:val="16"/>
                <w:szCs w:val="16"/>
                <w:shd w:fill="F1F3F5" w:color="auto" w:val="clear"/>
                <w:rtl/>
              </w:rPr>
              <w:t xml:space="preserve">‎CompanyId‎</w:t>
            </w:r>
            <w:r>
              <w:rPr>
                <w:rFonts w:ascii="Arial" w:cs="Arial" w:eastAsia="Arial" w:hAnsi="Arial"/>
                <w:b w:val="false"/>
                <w:bCs w:val="false"/>
                <w:sz w:val="18"/>
                <w:szCs w:val="18"/>
                <w:rtl/>
              </w:rPr>
              <w:t xml:space="preserve">، فلا يُربط طلب شركة بخطاب اعتماد أو بتعديل لشركة أخرى</w:t>
            </w:r>
          </w:p>
        </w:tc>
      </w:tr>
    </w:tbl>
    <w:p>
      <w:pPr>
        <w:bidi/>
        <w:spacing w:after="120" w:before="0"/>
      </w:pPr>
    </w:p>
    <w:p>
      <w:pPr>
        <w:pStyle w:val="Heading2"/>
        <w:bidi/>
      </w:pPr>
      <w:bookmarkStart w:name="_sec48" w:id="48"/>
      <w:r>
        <w:rPr>
          <w:rFonts w:ascii="Arial" w:cs="Arial" w:eastAsia="Arial" w:hAnsi="Arial"/>
          <w:b/>
          <w:bCs/>
          <w:color w:val="2B5C8A"/>
          <w:sz w:val="26"/>
          <w:szCs w:val="26"/>
          <w:rtl/>
        </w:rPr>
        <w:t xml:space="preserve">11.3 الكتالوجات المملوكة للمشترك (DR-03 · DR-05 · DR-07)</w:t>
      </w:r>
      <w:bookmarkEnd w:id="48"/>
    </w:p>
    <w:p>
      <w:pPr>
        <w:bidi/>
        <w:spacing w:after="110" w:before="0" w:line="312"/>
      </w:pPr>
      <w:r>
        <w:rPr>
          <w:rFonts w:ascii="Arial" w:cs="Arial" w:eastAsia="Arial" w:hAnsi="Arial"/>
          <w:b w:val="false"/>
          <w:bCs w:val="false"/>
          <w:sz w:val="21"/>
          <w:szCs w:val="21"/>
          <w:rtl/>
        </w:rPr>
        <w:t xml:space="preserve">كان </w:t>
      </w:r>
      <w:r>
        <w:rPr>
          <w:rFonts w:ascii="Courier New" w:cs="Courier New" w:eastAsia="Courier New" w:hAnsi="Courier New"/>
          <w:b w:val="false"/>
          <w:bCs w:val="false"/>
          <w:color w:val="1F2937"/>
          <w:sz w:val="18"/>
          <w:szCs w:val="18"/>
          <w:shd w:fill="F1F3F5" w:color="auto" w:val="clear"/>
          <w:rtl/>
        </w:rPr>
        <w:t xml:space="preserve">‎cat.LookupList‎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‎cat.LookupItem‎</w:t>
      </w:r>
      <w:r>
        <w:rPr>
          <w:rFonts w:ascii="Arial" w:cs="Arial" w:eastAsia="Arial" w:hAnsi="Arial"/>
          <w:b w:val="false"/>
          <w:bCs w:val="false"/>
          <w:sz w:val="21"/>
          <w:szCs w:val="21"/>
          <w:rtl/>
        </w:rPr>
        <w:t xml:space="preserve"> جدولين مختلطين، تشير إليهما 13 عمودًا من جداول المشترك، وتشترك فيهما قيم المنصة بين المشتركين بلا نسخة يملكها كل مشترك. بعد الإصلاح:</w:t>
      </w:r>
    </w:p>
    <w:p>
      <w:pPr>
        <w:pStyle w:val="ListParagraph"/>
        <w:numPr>
          <w:ilvl w:val="0"/>
          <w:numId w:val="3"/>
        </w:numPr>
        <w:bidi/>
        <w:spacing w:after="70" w:before="0" w:line="300"/>
      </w:pPr>
      <w:r>
        <w:rPr>
          <w:rFonts w:ascii="Arial" w:cs="Arial" w:eastAsia="Arial" w:hAnsi="Arial"/>
          <w:b w:val="false"/>
          <w:bCs w:val="false"/>
          <w:sz w:val="21"/>
          <w:szCs w:val="21"/>
          <w:rtl/>
        </w:rPr>
        <w:t xml:space="preserve">الجدولان </w:t>
      </w:r>
      <w:r>
        <w:rPr>
          <w:rFonts w:ascii="Arial" w:cs="Arial" w:eastAsia="Arial" w:hAnsi="Arial"/>
          <w:b/>
          <w:bCs/>
          <w:sz w:val="21"/>
          <w:szCs w:val="21"/>
          <w:rtl/>
        </w:rPr>
        <w:t xml:space="preserve">مملوكان للمشترك</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ولا صفوف مختلطة في الكتالوجات.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‎Scope = SYSTEM‎</w:t>
      </w:r>
      <w:r>
        <w:rPr>
          <w:rFonts w:ascii="Arial" w:cs="Arial" w:eastAsia="Arial" w:hAnsi="Arial"/>
          <w:b w:val="false"/>
          <w:bCs w:val="false"/>
          <w:sz w:val="21"/>
          <w:szCs w:val="21"/>
          <w:rtl/>
        </w:rPr>
        <w:t xml:space="preserve"> قائمة من قالب المنصة تُنسخ لكل مشترك عند التهيئة (</w:t>
      </w:r>
      <w:r>
        <w:rPr>
          <w:rFonts w:ascii="Courier New" w:cs="Courier New" w:eastAsia="Courier New" w:hAnsi="Courier New"/>
          <w:b w:val="false"/>
          <w:bCs w:val="false"/>
          <w:color w:val="1F2937"/>
          <w:sz w:val="18"/>
          <w:szCs w:val="18"/>
          <w:shd w:fill="F1F3F5" w:color="auto" w:val="clear"/>
          <w:rtl/>
        </w:rPr>
        <w:t xml:space="preserve">‎IsSystem = 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‎Scope = TENANT‎</w:t>
      </w:r>
      <w:r>
        <w:rPr>
          <w:rFonts w:ascii="Arial" w:cs="Arial" w:eastAsia="Arial" w:hAnsi="Arial"/>
          <w:b w:val="false"/>
          <w:bCs w:val="false"/>
          <w:sz w:val="21"/>
          <w:szCs w:val="21"/>
          <w:rtl/>
        </w:rPr>
        <w:t xml:space="preserve"> قائمة يعرّفها المشترك (</w:t>
      </w:r>
      <w:r>
        <w:rPr>
          <w:rFonts w:ascii="Courier New" w:cs="Courier New" w:eastAsia="Courier New" w:hAnsi="Courier New"/>
          <w:b w:val="false"/>
          <w:bCs w:val="false"/>
          <w:color w:val="1F2937"/>
          <w:sz w:val="18"/>
          <w:szCs w:val="18"/>
          <w:shd w:fill="F1F3F5" w:color="auto" w:val="clear"/>
          <w:rtl/>
        </w:rPr>
        <w:t xml:space="preserve">‎IsSystem = 0‎</w:t>
      </w:r>
      <w:r>
        <w:rPr>
          <w:rFonts w:ascii="Arial" w:cs="Arial" w:eastAsia="Arial" w:hAnsi="Arial"/>
          <w:b w:val="false"/>
          <w:bCs w:val="false"/>
          <w:sz w:val="21"/>
          <w:szCs w:val="21"/>
          <w:rtl/>
        </w:rPr>
        <w:t xml:space="preserve">)، وقيد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كل مرجع إلى بند قائمة مركّب </w:t>
      </w:r>
      <w:r>
        <w:rPr>
          <w:rFonts w:ascii="Courier New" w:cs="Courier New" w:eastAsia="Courier New" w:hAnsi="Courier New"/>
          <w:b w:val="false"/>
          <w:bCs w:val="false"/>
          <w:color w:val="1F2937"/>
          <w:sz w:val="18"/>
          <w:szCs w:val="18"/>
          <w:shd w:fill="F1F3F5" w:color="auto" w:val="clear"/>
          <w:rtl/>
        </w:rPr>
        <w:t xml:space="preserve">‎(TenantId, LookupItemId)‎</w:t>
      </w:r>
      <w:r>
        <w:rPr>
          <w:rFonts w:ascii="Arial" w:cs="Arial" w:eastAsia="Arial" w:hAnsi="Arial"/>
          <w:b w:val="false"/>
          <w:bCs w:val="false"/>
          <w:sz w:val="21"/>
          <w:szCs w:val="21"/>
          <w:rtl/>
        </w:rPr>
        <w:t xml:space="preserve">، فلا يشير مشترك إلى بند يخص مشتركًا آخر.</w:t>
      </w:r>
    </w:p>
    <w:p>
      <w:pPr>
        <w:pStyle w:val="ListParagraph"/>
        <w:numPr>
          <w:ilvl w:val="0"/>
          <w:numId w:val="3"/>
        </w:numPr>
        <w:bidi/>
        <w:spacing w:after="70" w:before="0" w:line="300"/>
      </w:pPr>
      <w:r>
        <w:rPr>
          <w:rFonts w:ascii="Arial" w:cs="Arial" w:eastAsia="Arial" w:hAnsi="Arial"/>
          <w:b w:val="false"/>
          <w:bCs w:val="false"/>
          <w:sz w:val="21"/>
          <w:szCs w:val="21"/>
          <w:rtl/>
        </w:rPr>
        <w:t xml:space="preserve">ثمن ذلك نسخ متعددة لقيم النظام بعدد المشتركين. تحديث القالب لاحقًا يُطبَّق على النسخ بمطابقة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ولا يكتب فوق تعديلات المشترك (§13).</w:t>
      </w:r>
    </w:p>
    <w:p>
      <w:pPr>
        <w:bidi/>
        <w:spacing w:after="60" w:before="0"/>
      </w:pPr>
    </w:p>
    <w:p>
      <w:pPr>
        <w:pStyle w:val="Heading1"/>
        <w:bidi/>
      </w:pPr>
      <w:bookmarkStart w:name="_sec49" w:id="49"/>
      <w:r>
        <w:rPr>
          <w:rFonts w:ascii="Arial" w:cs="Arial" w:eastAsia="Arial" w:hAnsi="Arial"/>
          <w:b/>
          <w:bCs/>
          <w:color w:val="1F3A5F"/>
          <w:sz w:val="32"/>
          <w:szCs w:val="32"/>
          <w:rtl/>
        </w:rPr>
        <w:t xml:space="preserve">12. النشر وإدارة التغيير</w:t>
      </w:r>
      <w:bookmarkEnd w:id="49"/>
    </w:p>
    <w:p>
      <w:pPr>
        <w:pStyle w:val="Heading2"/>
        <w:bidi/>
      </w:pPr>
      <w:bookmarkStart w:name="_sec50" w:id="50"/>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50"/>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Production (Ubuntu 24.04 LTS, ADR 0001) and CI (ADR 0010): an administrator prepares the database once and opens the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window; the deployment login (db_owner only) runs the wrapper, which changes to db/ and runs deploy.sql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prepare            # first time: empty BankFas, owner bankfas_owner, login 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open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SQL_SERVER=&lt;server&gt; SQL_USER=bankfas_migrator SQLCMDPASSWORD="$(cat &lt;secret file&gt;)" tools/deploy/deploy.sh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close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tools/deploy/provision_logins.sh                    # the service logins (ADR 0009)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The same thing by hand: cd db &amp;&amp; sqlcmd -S &lt;server&gt; -U &lt;login&gt; -I -b -i deploy.sql</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Windows host (kept, not run yet): tools\deploy\deploy.ps1 -Server &lt;server&gt;</w:t>
      </w:r>
    </w:p>
    <w:p>
      <w:pPr>
        <w:pStyle w:val="ListParagraph"/>
        <w:numPr>
          <w:ilvl w:val="0"/>
          <w:numId w:val="5"/>
        </w:numPr>
        <w:bidi/>
        <w:spacing w:after="70" w:before="0" w:line="300"/>
      </w:pPr>
      <w:r>
        <w:rPr>
          <w:rFonts w:ascii="Arial" w:cs="Arial" w:eastAsia="Arial" w:hAnsi="Arial"/>
          <w:b w:val="false"/>
          <w:bCs w:val="false"/>
          <w:sz w:val="21"/>
          <w:szCs w:val="21"/>
          <w:rtl/>
        </w:rPr>
        <w:t xml:space="preserve">إنشاء القاعدة بـ </w:t>
      </w:r>
      <w:r>
        <w:rPr>
          <w:rFonts w:ascii="Courier New" w:cs="Courier New" w:eastAsia="Courier New" w:hAnsi="Courier New"/>
          <w:b w:val="false"/>
          <w:bCs w:val="false"/>
          <w:color w:val="1F2937"/>
          <w:sz w:val="18"/>
          <w:szCs w:val="18"/>
          <w:shd w:fill="F1F3F5" w:color="auto" w:val="clear"/>
          <w:rtl/>
        </w:rPr>
        <w:t xml:space="preserve">‎Arabic_100_CI_AS_SC‎</w:t>
      </w:r>
      <w:r>
        <w:rPr>
          <w:rFonts w:ascii="Arial" w:cs="Arial" w:eastAsia="Arial" w:hAnsi="Arial"/>
          <w:b w:val="false"/>
          <w:bCs w:val="false"/>
          <w:sz w:val="21"/>
          <w:szCs w:val="21"/>
          <w:rtl/>
        </w:rPr>
        <w:t xml:space="preserve"> إن لم تكن موجودة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 وجدول الربط)</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 يحتاج دوال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‎028_tenant_settings‎</w:t>
      </w:r>
      <w:r>
        <w:rPr>
          <w:rFonts w:ascii="Arial" w:cs="Arial" w:eastAsia="Arial" w:hAnsi="Arial"/>
          <w:b w:val="false"/>
          <w:bCs w:val="false"/>
          <w:sz w:val="21"/>
          <w:szCs w:val="21"/>
          <w:rtl/>
        </w:rPr>
        <w:t xml:space="preserve"> (إعدادات المشترك ضمن حدود المنصة، ADR 0004) → </w:t>
      </w:r>
      <w:r>
        <w:rPr>
          <w:rFonts w:ascii="Courier New" w:cs="Courier New" w:eastAsia="Courier New" w:hAnsi="Courier New"/>
          <w:b w:val="false"/>
          <w:bCs w:val="false"/>
          <w:color w:val="1F2937"/>
          <w:sz w:val="18"/>
          <w:szCs w:val="18"/>
          <w:shd w:fill="F1F3F5" w:color="auto" w:val="clear"/>
          <w:rtl/>
        </w:rPr>
        <w:t xml:space="preserve">‎029_audit_writer‎</w:t>
      </w:r>
      <w:r>
        <w:rPr>
          <w:rFonts w:ascii="Arial" w:cs="Arial" w:eastAsia="Arial" w:hAnsi="Arial"/>
          <w:b w:val="false"/>
          <w:bCs w:val="false"/>
          <w:sz w:val="21"/>
          <w:szCs w:val="21"/>
          <w:rtl/>
        </w:rPr>
        <w:t xml:space="preserve"> (كاتب التدقيق وقادح محاولات الدخول، ADR 0007)</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(إجراءات الدخول والربط بـ</w:t>
      </w:r>
      <w:r>
        <w:rPr>
          <w:rFonts w:ascii="Courier New" w:cs="Courier New" w:eastAsia="Courier New" w:hAnsi="Courier New"/>
          <w:b w:val="false"/>
          <w:bCs w:val="false"/>
          <w:color w:val="1F2937"/>
          <w:sz w:val="18"/>
          <w:szCs w:val="18"/>
          <w:shd w:fill="F1F3F5" w:color="auto" w:val="clear"/>
          <w:rtl/>
        </w:rPr>
        <w:t xml:space="preserve">‎EXECUTE AS tp_auth_exec‎</w:t>
      </w:r>
      <w:r>
        <w:rPr>
          <w:rFonts w:ascii="Arial" w:cs="Arial" w:eastAsia="Arial" w:hAnsi="Arial"/>
          <w:b w:val="false"/>
          <w:bCs w:val="false"/>
          <w:sz w:val="21"/>
          <w:szCs w:val="21"/>
          <w:rtl/>
        </w:rPr>
        <w:t xml:space="preserve">، وقوادح السحب، وكل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تزيله منح 007 لو سبقتها)</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‎035_account_security‎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‎036_operator_and_support‎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‎037_job_context‎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‎038_tenant_onboarding‎</w:t>
      </w:r>
      <w:r>
        <w:rPr>
          <w:rFonts w:ascii="Arial" w:cs="Arial" w:eastAsia="Arial" w:hAnsi="Arial"/>
          <w:b w:val="false"/>
          <w:bCs w:val="false"/>
          <w:sz w:val="21"/>
          <w:szCs w:val="21"/>
          <w:rtl/>
        </w:rPr>
        <w:t xml:space="preserve"> (ADR 0003 و0004) → </w:t>
      </w:r>
      <w:r>
        <w:rPr>
          <w:rFonts w:ascii="Courier New" w:cs="Courier New" w:eastAsia="Courier New" w:hAnsi="Courier New"/>
          <w:b w:val="false"/>
          <w:bCs w:val="false"/>
          <w:color w:val="1F2937"/>
          <w:sz w:val="18"/>
          <w:szCs w:val="18"/>
          <w:shd w:fill="F1F3F5" w:color="auto" w:val="clear"/>
          <w:rtl/>
        </w:rPr>
        <w:t xml:space="preserve">‎039_numbering‎</w:t>
      </w:r>
      <w:r>
        <w:rPr>
          <w:rFonts w:ascii="Arial" w:cs="Arial" w:eastAsia="Arial" w:hAnsi="Arial"/>
          <w:b w:val="false"/>
          <w:bCs w:val="false"/>
          <w:sz w:val="21"/>
          <w:szCs w:val="21"/>
          <w:rtl/>
        </w:rPr>
        <w:t xml:space="preserve"> (الترقيم، ADR 0005) → </w:t>
      </w:r>
      <w:r>
        <w:rPr>
          <w:rFonts w:ascii="Courier New" w:cs="Courier New" w:eastAsia="Courier New" w:hAnsi="Courier New"/>
          <w:b w:val="false"/>
          <w:bCs w:val="false"/>
          <w:color w:val="1F2937"/>
          <w:sz w:val="18"/>
          <w:szCs w:val="18"/>
          <w:shd w:fill="F1F3F5" w:color="auto" w:val="clear"/>
          <w:rtl/>
        </w:rPr>
        <w:t xml:space="preserve">‎041_kyc_profile_versions‎</w:t>
      </w:r>
      <w:r>
        <w:rPr>
          <w:rFonts w:ascii="Arial" w:cs="Arial" w:eastAsia="Arial" w:hAnsi="Arial"/>
          <w:b w:val="false"/>
          <w:bCs w:val="false"/>
          <w:sz w:val="21"/>
          <w:szCs w:val="21"/>
          <w:rtl/>
        </w:rPr>
        <w:t xml:space="preserve"> (نسخ ملفات الاكتمال، ADR 0006) → </w:t>
      </w:r>
      <w:r>
        <w:rPr>
          <w:rFonts w:ascii="Courier New" w:cs="Courier New" w:eastAsia="Courier New" w:hAnsi="Courier New"/>
          <w:b w:val="false"/>
          <w:bCs w:val="false"/>
          <w:color w:val="1F2937"/>
          <w:sz w:val="18"/>
          <w:szCs w:val="18"/>
          <w:shd w:fill="F1F3F5" w:color="auto" w:val="clear"/>
          <w:rtl/>
        </w:rPr>
        <w:t xml:space="preserve">‎042_data_export‎</w:t>
      </w:r>
      <w:r>
        <w:rPr>
          <w:rFonts w:ascii="Arial" w:cs="Arial" w:eastAsia="Arial" w:hAnsi="Arial"/>
          <w:b w:val="false"/>
          <w:bCs w:val="false"/>
          <w:sz w:val="21"/>
          <w:szCs w:val="21"/>
          <w:rtl/>
        </w:rPr>
        <w:t xml:space="preserve"> (التصدير في كل حالة تسمح به، ADR 0008)</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‎050_fac_share_rule‎</w:t>
      </w:r>
      <w:r>
        <w:rPr>
          <w:rFonts w:ascii="Arial" w:cs="Arial" w:eastAsia="Arial" w:hAnsi="Arial"/>
          <w:b w:val="false"/>
          <w:bCs w:val="false"/>
          <w:sz w:val="21"/>
          <w:szCs w:val="21"/>
          <w:rtl/>
        </w:rPr>
        <w:t xml:space="preserve"> (قاعدة حصص المقرضين)</w:t>
      </w:r>
    </w:p>
    <w:p>
      <w:pPr>
        <w:pStyle w:val="ListParagraph"/>
        <w:numPr>
          <w:ilvl w:val="0"/>
          <w:numId w:val="5"/>
        </w:numPr>
        <w:bidi/>
        <w:spacing w:after="70" w:before="0" w:line="300"/>
      </w:pPr>
      <w:r>
        <w:rPr>
          <w:rFonts w:ascii="Arial" w:cs="Arial" w:eastAsia="Arial" w:hAnsi="Arial"/>
          <w:b w:val="false"/>
          <w:bCs w:val="false"/>
          <w:sz w:val="21"/>
          <w:szCs w:val="21"/>
          <w:rtl/>
        </w:rPr>
        <w:t xml:space="preserve">البذور العالمية: </w:t>
      </w:r>
      <w:r>
        <w:rPr>
          <w:rFonts w:ascii="Courier New" w:cs="Courier New" w:eastAsia="Courier New" w:hAnsi="Courier New"/>
          <w:b w:val="false"/>
          <w:bCs w:val="false"/>
          <w:color w:val="1F2937"/>
          <w:sz w:val="18"/>
          <w:szCs w:val="18"/>
          <w:shd w:fill="F1F3F5" w:color="auto" w:val="clear"/>
          <w:rtl/>
        </w:rPr>
        <w:t xml:space="preserve">‎seed/100_platform_global‎</w:t>
      </w:r>
      <w:r>
        <w:rPr>
          <w:rFonts w:ascii="Arial" w:cs="Arial" w:eastAsia="Arial" w:hAnsi="Arial"/>
          <w:b w:val="false"/>
          <w:bCs w:val="false"/>
          <w:sz w:val="21"/>
          <w:szCs w:val="21"/>
          <w:rtl/>
        </w:rPr>
        <w:t xml:space="preserve"> (الإعدادات والمهام والباقة والعناوين المحجوزة) → </w:t>
      </w:r>
      <w:r>
        <w:rPr>
          <w:rFonts w:ascii="Courier New" w:cs="Courier New" w:eastAsia="Courier New" w:hAnsi="Courier New"/>
          <w:b w:val="false"/>
          <w:bCs w:val="false"/>
          <w:color w:val="1F2937"/>
          <w:sz w:val="18"/>
          <w:szCs w:val="18"/>
          <w:shd w:fill="F1F3F5" w:color="auto" w:val="clear"/>
          <w:rtl/>
        </w:rPr>
        <w:t xml:space="preserve">‎seed/101_iso_reference‎</w:t>
      </w:r>
      <w:r>
        <w:rPr>
          <w:rFonts w:ascii="Arial" w:cs="Arial" w:eastAsia="Arial" w:hAnsi="Arial"/>
          <w:b w:val="false"/>
          <w:bCs w:val="false"/>
          <w:sz w:val="21"/>
          <w:szCs w:val="21"/>
          <w:rtl/>
        </w:rPr>
        <w:t xml:space="preserve"> (الدول والعملات) → </w:t>
      </w:r>
      <w:r>
        <w:rPr>
          <w:rFonts w:ascii="Courier New" w:cs="Courier New" w:eastAsia="Courier New" w:hAnsi="Courier New"/>
          <w:b w:val="false"/>
          <w:bCs w:val="false"/>
          <w:color w:val="1F2937"/>
          <w:sz w:val="18"/>
          <w:szCs w:val="18"/>
          <w:shd w:fill="F1F3F5" w:color="auto" w:val="clear"/>
          <w:rtl/>
        </w:rPr>
        <w:t xml:space="preserve">‎seed/102_permissions‎</w:t>
      </w:r>
      <w:r>
        <w:rPr>
          <w:rFonts w:ascii="Arial" w:cs="Arial" w:eastAsia="Arial" w:hAnsi="Arial"/>
          <w:b w:val="false"/>
          <w:bCs w:val="false"/>
          <w:sz w:val="21"/>
          <w:szCs w:val="21"/>
          <w:rtl/>
        </w:rPr>
        <w:t xml:space="preserve"> (الصلاحيات) → </w:t>
      </w:r>
      <w:r>
        <w:rPr>
          <w:rFonts w:ascii="Courier New" w:cs="Courier New" w:eastAsia="Courier New" w:hAnsi="Courier New"/>
          <w:b w:val="false"/>
          <w:bCs w:val="false"/>
          <w:color w:val="1F2937"/>
          <w:sz w:val="18"/>
          <w:szCs w:val="18"/>
          <w:shd w:fill="F1F3F5" w:color="auto" w:val="clear"/>
          <w:rtl/>
        </w:rPr>
        <w:t xml:space="preserve">‎seed/103_lc_reference‎</w:t>
      </w:r>
      <w:r>
        <w:rPr>
          <w:rFonts w:ascii="Arial" w:cs="Arial" w:eastAsia="Arial" w:hAnsi="Arial"/>
          <w:b w:val="false"/>
          <w:bCs w:val="false"/>
          <w:sz w:val="21"/>
          <w:szCs w:val="21"/>
          <w:rtl/>
        </w:rPr>
        <w:t xml:space="preserve"> (Incoterms ومواد UCP 600)؛ إدراج فقط، وتعيد الخطوة 4b في CI تشغيلها وتشترط ألا يتغير شيء</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pStyle w:val="ListParagraph"/>
        <w:numPr>
          <w:ilvl w:val="0"/>
          <w:numId w:val="5"/>
        </w:numPr>
        <w:bidi/>
        <w:spacing w:after="70" w:before="0" w:line="300"/>
      </w:pPr>
      <w:r>
        <w:rPr>
          <w:rFonts w:ascii="Arial" w:cs="Arial" w:eastAsia="Arial" w:hAnsi="Arial"/>
          <w:b w:val="false"/>
          <w:bCs w:val="false"/>
          <w:sz w:val="21"/>
          <w:szCs w:val="21"/>
          <w:rtl/>
        </w:rPr>
        <w:t xml:space="preserve">بعد النشر، بحساب مدير شخصي يملك إنشاء الحسابات: </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1"/>
          <w:szCs w:val="21"/>
          <w:rtl/>
        </w:rPr>
        <w:t xml:space="preserve"> ينشئ حسابات الخدمة الأربعة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كلٌّ بزوج a/b للتدوير) ويربط كلًا بدوره وحده، وأسرارها من ملفات خاصة لا من سطر الأوامر (ADR 0009، DOC-S08)</w:t>
      </w:r>
    </w:p>
    <w:p>
      <w:pPr>
        <w:bidi/>
        <w:spacing w:after="60" w:before="0"/>
      </w:pPr>
    </w:p>
    <w:p>
      <w:pPr>
        <w:bidi/>
        <w:spacing w:after="110" w:before="0" w:line="312"/>
      </w:pPr>
      <w:r>
        <w:rPr>
          <w:rFonts w:ascii="Arial" w:cs="Arial" w:eastAsia="Arial" w:hAnsi="Arial"/>
          <w:b/>
          <w:bCs/>
          <w:sz w:val="21"/>
          <w:szCs w:val="21"/>
          <w:rtl/>
        </w:rPr>
        <w:t xml:space="preserve">الفحص:</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يفحص الملفات (لا القاعدة) في الخطوة 3 من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قبل النشر،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w:t>
      </w:r>
      <w:r>
        <w:rPr>
          <w:rFonts w:ascii="Arial" w:cs="Arial" w:eastAsia="Arial" w:hAnsi="Arial"/>
          <w:b/>
          <w:bCs/>
          <w:sz w:val="21"/>
          <w:szCs w:val="21"/>
          <w:rtl/>
        </w:rPr>
        <w:t xml:space="preserve">لا يوجد بعدُ مسار ترحيل بين الإصدارات</w:t>
      </w:r>
      <w:r>
        <w:rPr>
          <w:rFonts w:ascii="Arial" w:cs="Arial" w:eastAsia="Arial" w:hAnsi="Arial"/>
          <w:b w:val="false"/>
          <w:bCs w:val="false"/>
          <w:sz w:val="21"/>
          <w:szCs w:val="21"/>
          <w:rtl/>
        </w:rPr>
        <w:t xml:space="preserve"> (O-2).</w:t>
      </w:r>
    </w:p>
    <w:p>
      <w:pPr>
        <w:pStyle w:val="Heading2"/>
        <w:bidi/>
      </w:pPr>
      <w:bookmarkStart w:name="_sec51" w:id="51"/>
      <w:r>
        <w:rPr>
          <w:rFonts w:ascii="Arial" w:cs="Arial" w:eastAsia="Arial" w:hAnsi="Arial"/>
          <w:b/>
          <w:bCs/>
          <w:color w:val="2B5C8A"/>
          <w:sz w:val="26"/>
          <w:szCs w:val="26"/>
          <w:rtl/>
        </w:rPr>
        <w:t xml:space="preserve">12.2 تغيير النموذج</w:t>
      </w:r>
      <w:bookmarkEnd w:id="51"/>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52" w:id="52"/>
      <w:r>
        <w:rPr>
          <w:rFonts w:ascii="Arial" w:cs="Arial" w:eastAsia="Arial" w:hAnsi="Arial"/>
          <w:b/>
          <w:bCs/>
          <w:color w:val="2B5C8A"/>
          <w:sz w:val="26"/>
          <w:szCs w:val="26"/>
          <w:rtl/>
        </w:rPr>
        <w:t xml:space="preserve">12.3 النسخ الاحتياطي والاستعادة (توصيات للتشغيل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52"/>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53" w:id="53"/>
      <w:r>
        <w:rPr>
          <w:rFonts w:ascii="Arial" w:cs="Arial" w:eastAsia="Arial" w:hAnsi="Arial"/>
          <w:b/>
          <w:bCs/>
          <w:color w:val="2B5C8A"/>
          <w:sz w:val="26"/>
          <w:szCs w:val="26"/>
          <w:rtl/>
        </w:rPr>
        <w:t xml:space="preserve">12.4 الأداء والحمل</w:t>
      </w:r>
      <w:bookmarkEnd w:id="53"/>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54" w:id="54"/>
      <w:r>
        <w:rPr>
          <w:rFonts w:ascii="Arial" w:cs="Arial" w:eastAsia="Arial" w:hAnsi="Arial"/>
          <w:b/>
          <w:bCs/>
          <w:color w:val="1F3A5F"/>
          <w:sz w:val="32"/>
          <w:szCs w:val="32"/>
          <w:rtl/>
        </w:rPr>
        <w:t xml:space="preserve">13. البذور وتهيئة المشترك</w:t>
      </w:r>
      <w:bookmarkEnd w:id="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4080"/>
        <w:gridCol w:w="4786"/>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47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w:t>
            </w:r>
            <w:r>
              <w:rPr>
                <w:rFonts w:ascii="Arial" w:cs="Arial" w:eastAsia="Arial" w:hAnsi="Arial"/>
                <w:b w:val="false"/>
                <w:bCs w:val="false"/>
                <w:sz w:val="18"/>
                <w:szCs w:val="18"/>
                <w:rtl/>
              </w:rPr>
              <w:t xml:space="preserve"> وصفوف المنصة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بذور عند النشر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بإدراج آمن لإعادة التشغيل تتحقق منه الخطوة 4b في CI.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وصفوف المنصة في الجداول المختلطة يكتبها السكربت بمستخدم مؤقت من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يُحذف بعده.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وتعريفات حقول الاعتماد مملوكة للمشترك في النموذج، فتُبذر في حزمتي المشترك NTF.BASE وLC.BASE لا هنا (DOC-B05 §5.1).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(ستة مفاتيح أمنية، 30 مهمة، الباقة STANDARD بوحداتها التسع، 23 عنوانًا محجوزًا)، و</w:t>
            </w:r>
            <w:r>
              <w:rPr>
                <w:rFonts w:ascii="Courier New" w:cs="Courier New" w:eastAsia="Courier New" w:hAnsi="Courier New"/>
                <w:b w:val="false"/>
                <w:bCs w:val="false"/>
                <w:color w:val="1F2937"/>
                <w:sz w:val="16"/>
                <w:szCs w:val="16"/>
                <w:shd w:fill="F1F3F5" w:color="auto" w:val="clear"/>
                <w:rtl/>
              </w:rPr>
              <w:t xml:space="preserve">‎101‎</w:t>
            </w:r>
            <w:r>
              <w:rPr>
                <w:rFonts w:ascii="Arial" w:cs="Arial" w:eastAsia="Arial" w:hAnsi="Arial"/>
                <w:b w:val="false"/>
                <w:bCs w:val="false"/>
                <w:sz w:val="18"/>
                <w:szCs w:val="18"/>
                <w:rtl/>
              </w:rPr>
              <w:t xml:space="preserve"> (249 دولة و157 عملة بإصدار ISO مسجَّل، DQ-B05-5)، و</w:t>
            </w:r>
            <w:r>
              <w:rPr>
                <w:rFonts w:ascii="Courier New" w:cs="Courier New" w:eastAsia="Courier New" w:hAnsi="Courier New"/>
                <w:b w:val="false"/>
                <w:bCs w:val="false"/>
                <w:color w:val="1F2937"/>
                <w:sz w:val="16"/>
                <w:szCs w:val="16"/>
                <w:shd w:fill="F1F3F5" w:color="auto" w:val="clear"/>
                <w:rtl/>
              </w:rPr>
              <w:t xml:space="preserve">‎102‎</w:t>
            </w:r>
            <w:r>
              <w:rPr>
                <w:rFonts w:ascii="Arial" w:cs="Arial" w:eastAsia="Arial" w:hAnsi="Arial"/>
                <w:b w:val="false"/>
                <w:bCs w:val="false"/>
                <w:sz w:val="18"/>
                <w:szCs w:val="18"/>
                <w:rtl/>
              </w:rPr>
              <w:t xml:space="preserve"> (138 صلاحية، خمس منها مقفلة على TM وFO، DQ-F07-1 وDQ-F09-1)؛ المولِّدان </w:t>
            </w:r>
            <w:r>
              <w:rPr>
                <w:rFonts w:ascii="Courier New" w:cs="Courier New" w:eastAsia="Courier New" w:hAnsi="Courier New"/>
                <w:b w:val="false"/>
                <w:bCs w:val="false"/>
                <w:color w:val="1F2937"/>
                <w:sz w:val="16"/>
                <w:szCs w:val="16"/>
                <w:shd w:fill="F1F3F5" w:color="auto" w:val="clear"/>
                <w:rtl/>
              </w:rPr>
              <w:t xml:space="preserve">‎tools/dbgen/gen_iso_seed.py‎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‎gen_permission_seed.py‎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(16 قاعدة Incoterms منها 5 قديمة LEGACY، ومواد UCP 600 الـ39 صفوفَ منصة بحالة UNVERIFIED حتى يتحقق مختص، O-06) (ADR 0005). البذر العالمي في الوثائق مكتمل؛ والعطل الرسمية يدخلها المشغّل (FR-PLT-035)</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4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ونسخ كتالوجات النظام لهذا المشترك (§11.3)، والأدوار القياسية وربطها بالصلاحيات، وقوالب دورات العمل، وتعريفات الترقيم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بلا فجوات)، وملفات KYC المسبقة، وقواعد الإشعارات، ووحدات الاشتراك في </w:t>
            </w: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47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منفّذ بمرحلتين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ينشئ المشترك ووحداته وحساب الخدمة والمدير الأول المدعو في معاملة واحدة، ثم تبذر مهمة التهيئة الحزم في التطبيق وتدعو المدير الأول (</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55" w:id="55"/>
      <w:r>
        <w:rPr>
          <w:rFonts w:ascii="Arial" w:cs="Arial" w:eastAsia="Arial" w:hAnsi="Arial"/>
          <w:b/>
          <w:bCs/>
          <w:color w:val="1F3A5F"/>
          <w:sz w:val="32"/>
          <w:szCs w:val="32"/>
          <w:rtl/>
        </w:rPr>
        <w:t xml:space="preserve">14. أدلة التحقق وحدودها (بصراحة)</w:t>
      </w:r>
      <w:bookmarkEnd w:id="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2"/>
        <w:gridCol w:w="5007"/>
        <w:gridCol w:w="1745"/>
      </w:tblGrid>
      <w:tr>
        <w:trPr>
          <w:cantSplit/>
          <w:tblHeader/>
        </w:trPr>
        <w:tc>
          <w:tcPr>
            <w:tcW w:type="dxa" w:w="31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50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198 جدولًا / 3,324 عمودًا؛ لا مراجع معلّقة؛ لا مخالفة لقواعد النطاق</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194 جدولًا / 763 مفتاحًا أجنبيًا / 691 قيد فريد أو أساسي (تشغيل سابق قبل إضافة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198 جدولًا، 249 منحة مولّدة، 83 منحة ثابتة، 31 عمودًا مقيّدًا، القواعد R1–R11؛ يعمل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الإصلاحات الحرجة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24 من 24</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يفحص أن كل إصلاح من DR-01 إلى DR-10 موجود في DDL المولَّد، لا في الوثيقة وحدها</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نشر كامل لـ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على قاعدة جديدة في كل تشغيل لـ </w:t>
            </w:r>
            <w:r>
              <w:rPr>
                <w:rFonts w:ascii="Courier New" w:cs="Courier New" w:eastAsia="Courier New" w:hAnsi="Courier New"/>
                <w:b w:val="false"/>
                <w:bCs w:val="false"/>
                <w:color w:val="1F2937"/>
                <w:sz w:val="16"/>
                <w:szCs w:val="16"/>
                <w:shd w:fill="F1F3F5" w:color="auto" w:val="clear"/>
                <w:rtl/>
              </w:rPr>
              <w:t xml:space="preserve">‎tools/ci/db_ci.sh‎</w:t>
            </w:r>
            <w:r>
              <w:rPr>
                <w:rFonts w:ascii="Arial" w:cs="Arial" w:eastAsia="Arial" w:hAnsi="Arial"/>
                <w:b w:val="false"/>
                <w:bCs w:val="false"/>
                <w:sz w:val="18"/>
                <w:szCs w:val="18"/>
                <w:rtl/>
              </w:rPr>
              <w:t xml:space="preserve">، بحساب النشر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كما في الإنتاج (ADR 0010) (صورة Ubuntu 24.04، ومرّ أيضًا على صورة RHEL؛ ADR 0001) ثم مطابقة الكائنات المنشورة مع DDL المولَّد</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أن المحرك يقبل النص وترتيب النشر والمنح كما هي. صفحة الدعم الرسمية لـ Ubuntu 24.04 لم تُراجَع من بيئة العمل (O-23)</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التدفق المالي)</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جزئي</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‎db/tests/tenant_isolation_tests.sql‎</w:t>
            </w:r>
            <w:r>
              <w:rPr>
                <w:rFonts w:ascii="Arial" w:cs="Arial" w:eastAsia="Arial" w:hAnsi="Arial"/>
                <w:b w:val="false"/>
                <w:bCs w:val="false"/>
                <w:sz w:val="18"/>
                <w:szCs w:val="18"/>
                <w:rtl/>
              </w:rPr>
              <w:t xml:space="preserve"> 48 حالة (العزل، قراءة المنصة للتدقيق، ربط الاتصال، الدخول والقفل وMFA، حالة المشترك، حدود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‎db/tests/auth_flow_tests.sql‎</w:t>
            </w:r>
            <w:r>
              <w:rPr>
                <w:rFonts w:ascii="Arial" w:cs="Arial" w:eastAsia="Arial" w:hAnsi="Arial"/>
                <w:b w:val="false"/>
                <w:bCs w:val="false"/>
                <w:sz w:val="18"/>
                <w:szCs w:val="18"/>
                <w:rtl/>
              </w:rPr>
              <w:t xml:space="preserve"> 20 حالة (حسابات المستخدمين وإعدادات المشترك، ADR 0003 و0004) و</w:t>
            </w:r>
            <w:r>
              <w:rPr>
                <w:rFonts w:ascii="Courier New" w:cs="Courier New" w:eastAsia="Courier New" w:hAnsi="Courier New"/>
                <w:b w:val="false"/>
                <w:bCs w:val="false"/>
                <w:color w:val="1F2937"/>
                <w:sz w:val="16"/>
                <w:szCs w:val="16"/>
                <w:shd w:fill="F1F3F5" w:color="auto" w:val="clear"/>
                <w:rtl/>
              </w:rPr>
              <w:t xml:space="preserve">‎db/tests/operator_support_tests.sql‎</w:t>
            </w:r>
            <w:r>
              <w:rPr>
                <w:rFonts w:ascii="Arial" w:cs="Arial" w:eastAsia="Arial" w:hAnsi="Arial"/>
                <w:b w:val="false"/>
                <w:bCs w:val="false"/>
                <w:sz w:val="18"/>
                <w:szCs w:val="18"/>
                <w:rtl/>
              </w:rPr>
              <w:t xml:space="preserve"> 11 حالة و</w:t>
            </w:r>
            <w:r>
              <w:rPr>
                <w:rFonts w:ascii="Courier New" w:cs="Courier New" w:eastAsia="Courier New" w:hAnsi="Courier New"/>
                <w:b w:val="false"/>
                <w:bCs w:val="false"/>
                <w:color w:val="1F2937"/>
                <w:sz w:val="16"/>
                <w:szCs w:val="16"/>
                <w:shd w:fill="F1F3F5" w:color="auto" w:val="clear"/>
                <w:rtl/>
              </w:rPr>
              <w:t xml:space="preserve">‎db/tests/job_context_tests.sql‎</w:t>
            </w:r>
            <w:r>
              <w:rPr>
                <w:rFonts w:ascii="Arial" w:cs="Arial" w:eastAsia="Arial" w:hAnsi="Arial"/>
                <w:b w:val="false"/>
                <w:bCs w:val="false"/>
                <w:sz w:val="18"/>
                <w:szCs w:val="18"/>
                <w:rtl/>
              </w:rPr>
              <w:t xml:space="preserve"> 7 حالات و</w:t>
            </w:r>
            <w:r>
              <w:rPr>
                <w:rFonts w:ascii="Courier New" w:cs="Courier New" w:eastAsia="Courier New" w:hAnsi="Courier New"/>
                <w:b w:val="false"/>
                <w:bCs w:val="false"/>
                <w:color w:val="1F2937"/>
                <w:sz w:val="16"/>
                <w:szCs w:val="16"/>
                <w:shd w:fill="F1F3F5" w:color="auto" w:val="clear"/>
                <w:rtl/>
              </w:rPr>
              <w:t xml:space="preserve">‎db/tests/tenant_onboarding_tests.sql‎</w:t>
            </w:r>
            <w:r>
              <w:rPr>
                <w:rFonts w:ascii="Arial" w:cs="Arial" w:eastAsia="Arial" w:hAnsi="Arial"/>
                <w:b w:val="false"/>
                <w:bCs w:val="false"/>
                <w:sz w:val="18"/>
                <w:szCs w:val="18"/>
                <w:rtl/>
              </w:rPr>
              <w:t xml:space="preserve"> 5 حالات (ADR 0004) و</w:t>
            </w:r>
            <w:r>
              <w:rPr>
                <w:rFonts w:ascii="Courier New" w:cs="Courier New" w:eastAsia="Courier New" w:hAnsi="Courier New"/>
                <w:b w:val="false"/>
                <w:bCs w:val="false"/>
                <w:color w:val="1F2937"/>
                <w:sz w:val="16"/>
                <w:szCs w:val="16"/>
                <w:shd w:fill="F1F3F5" w:color="auto" w:val="clear"/>
                <w:rtl/>
              </w:rPr>
              <w:t xml:space="preserve">‎db/tests/numbering_tests.sql‎</w:t>
            </w:r>
            <w:r>
              <w:rPr>
                <w:rFonts w:ascii="Arial" w:cs="Arial" w:eastAsia="Arial" w:hAnsi="Arial"/>
                <w:b w:val="false"/>
                <w:bCs w:val="false"/>
                <w:sz w:val="18"/>
                <w:szCs w:val="18"/>
                <w:rtl/>
              </w:rPr>
              <w:t xml:space="preserve"> 8 حالات مع فحص تزامن بستة اتصالات (</w:t>
            </w:r>
            <w:r>
              <w:rPr>
                <w:rFonts w:ascii="Courier New" w:cs="Courier New" w:eastAsia="Courier New" w:hAnsi="Courier New"/>
                <w:b w:val="false"/>
                <w:bCs w:val="false"/>
                <w:color w:val="1F2937"/>
                <w:sz w:val="16"/>
                <w:szCs w:val="16"/>
                <w:shd w:fill="F1F3F5" w:color="auto" w:val="clear"/>
                <w:rtl/>
              </w:rPr>
              <w:t xml:space="preserve">‎tools/ci/numbering_concurrency.sh‎</w:t>
            </w:r>
            <w:r>
              <w:rPr>
                <w:rFonts w:ascii="Arial" w:cs="Arial" w:eastAsia="Arial" w:hAnsi="Arial"/>
                <w:b w:val="false"/>
                <w:bCs w:val="false"/>
                <w:sz w:val="18"/>
                <w:szCs w:val="18"/>
                <w:rtl/>
              </w:rPr>
              <w:t xml:space="preserve">: 114 رقمًا من 1 إلى 114 بلا تكرار ولا فجوة بعد 36 تراجعًا، ADR 0005) و</w:t>
            </w:r>
            <w:r>
              <w:rPr>
                <w:rFonts w:ascii="Courier New" w:cs="Courier New" w:eastAsia="Courier New" w:hAnsi="Courier New"/>
                <w:b w:val="false"/>
                <w:bCs w:val="false"/>
                <w:color w:val="1F2937"/>
                <w:sz w:val="16"/>
                <w:szCs w:val="16"/>
                <w:shd w:fill="F1F3F5" w:color="auto" w:val="clear"/>
                <w:rtl/>
              </w:rPr>
              <w:t xml:space="preserve">‎db/tests/kyc_history_tests.sql‎</w:t>
            </w:r>
            <w:r>
              <w:rPr>
                <w:rFonts w:ascii="Arial" w:cs="Arial" w:eastAsia="Arial" w:hAnsi="Arial"/>
                <w:b w:val="false"/>
                <w:bCs w:val="false"/>
                <w:sz w:val="18"/>
                <w:szCs w:val="18"/>
                <w:rtl/>
              </w:rPr>
              <w:t xml:space="preserve"> 4 حالات (الحذف المتتالي ونسخ ملفات الاكتمال، ADR 0006) و</w:t>
            </w:r>
            <w:r>
              <w:rPr>
                <w:rFonts w:ascii="Courier New" w:cs="Courier New" w:eastAsia="Courier New" w:hAnsi="Courier New"/>
                <w:b w:val="false"/>
                <w:bCs w:val="false"/>
                <w:color w:val="1F2937"/>
                <w:sz w:val="16"/>
                <w:szCs w:val="16"/>
                <w:shd w:fill="F1F3F5" w:color="auto" w:val="clear"/>
                <w:rtl/>
              </w:rPr>
              <w:t xml:space="preserve">‎db/tests/reference_data_tests.sql‎</w:t>
            </w:r>
            <w:r>
              <w:rPr>
                <w:rFonts w:ascii="Arial" w:cs="Arial" w:eastAsia="Arial" w:hAnsi="Arial"/>
                <w:b w:val="false"/>
                <w:bCs w:val="false"/>
                <w:sz w:val="18"/>
                <w:szCs w:val="18"/>
                <w:rtl/>
              </w:rPr>
              <w:t xml:space="preserve"> 4 حالات (قراءة المشترك للقوائم العالمية ومواد UCP، ومنعه من كتابتها) و</w:t>
            </w:r>
            <w:r>
              <w:rPr>
                <w:rFonts w:ascii="Courier New" w:cs="Courier New" w:eastAsia="Courier New" w:hAnsi="Courier New"/>
                <w:b w:val="false"/>
                <w:bCs w:val="false"/>
                <w:color w:val="1F2937"/>
                <w:sz w:val="16"/>
                <w:szCs w:val="16"/>
                <w:shd w:fill="F1F3F5" w:color="auto" w:val="clear"/>
                <w:rtl/>
              </w:rPr>
              <w:t xml:space="preserve">‎db/tests/audit_trail_tests.sql‎</w:t>
            </w:r>
            <w:r>
              <w:rPr>
                <w:rFonts w:ascii="Arial" w:cs="Arial" w:eastAsia="Arial" w:hAnsi="Arial"/>
                <w:b w:val="false"/>
                <w:bCs w:val="false"/>
                <w:sz w:val="18"/>
                <w:szCs w:val="18"/>
                <w:rtl/>
              </w:rPr>
              <w:t xml:space="preserve"> 7 حالات (صفوف التدقيق التي تكتبها القاعدة، ADR 0007) و</w:t>
            </w:r>
            <w:r>
              <w:rPr>
                <w:rFonts w:ascii="Courier New" w:cs="Courier New" w:eastAsia="Courier New" w:hAnsi="Courier New"/>
                <w:b w:val="false"/>
                <w:bCs w:val="false"/>
                <w:color w:val="1F2937"/>
                <w:sz w:val="16"/>
                <w:szCs w:val="16"/>
                <w:shd w:fill="F1F3F5" w:color="auto" w:val="clear"/>
                <w:rtl/>
              </w:rPr>
              <w:t xml:space="preserve">‎db/tests/data_export_tests.sql‎</w:t>
            </w:r>
            <w:r>
              <w:rPr>
                <w:rFonts w:ascii="Arial" w:cs="Arial" w:eastAsia="Arial" w:hAnsi="Arial"/>
                <w:b w:val="false"/>
                <w:bCs w:val="false"/>
                <w:sz w:val="18"/>
                <w:szCs w:val="18"/>
                <w:rtl/>
              </w:rPr>
              <w:t xml:space="preserve"> 6 حالات (التصدير في المعلّق والمغلق، ADR 0008) و</w:t>
            </w:r>
            <w:r>
              <w:rPr>
                <w:rFonts w:ascii="Courier New" w:cs="Courier New" w:eastAsia="Courier New" w:hAnsi="Courier New"/>
                <w:b w:val="false"/>
                <w:bCs w:val="false"/>
                <w:color w:val="1F2937"/>
                <w:sz w:val="16"/>
                <w:szCs w:val="16"/>
                <w:shd w:fill="F1F3F5" w:color="auto" w:val="clear"/>
                <w:rtl/>
              </w:rPr>
              <w:t xml:space="preserve">‎tools/ci/service_logins_check.sh‎</w:t>
            </w:r>
            <w:r>
              <w:rPr>
                <w:rFonts w:ascii="Arial" w:cs="Arial" w:eastAsia="Arial" w:hAnsi="Arial"/>
                <w:b w:val="false"/>
                <w:bCs w:val="false"/>
                <w:sz w:val="18"/>
                <w:szCs w:val="18"/>
                <w:rtl/>
              </w:rPr>
              <w:t xml:space="preserve"> 6 فحوص (حسابات الخدمة بأسرارها وصلاحياتها، ADR 0009) و</w:t>
            </w:r>
            <w:r>
              <w:rPr>
                <w:rFonts w:ascii="Courier New" w:cs="Courier New" w:eastAsia="Courier New" w:hAnsi="Courier New"/>
                <w:b w:val="false"/>
                <w:bCs w:val="false"/>
                <w:color w:val="1F2937"/>
                <w:sz w:val="16"/>
                <w:szCs w:val="16"/>
                <w:shd w:fill="F1F3F5" w:color="auto" w:val="clear"/>
                <w:rtl/>
              </w:rPr>
              <w:t xml:space="preserve">‎db/tests/fac_share_rule_tests.sql‎</w:t>
            </w:r>
            <w:r>
              <w:rPr>
                <w:rFonts w:ascii="Arial" w:cs="Arial" w:eastAsia="Arial" w:hAnsi="Arial"/>
                <w:b w:val="false"/>
                <w:bCs w:val="false"/>
                <w:sz w:val="18"/>
                <w:szCs w:val="18"/>
                <w:rtl/>
              </w:rPr>
              <w:t xml:space="preserve"> 6 حالات، وكلها تمر في CI</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تُكتب بعد: التدفق المالي (الحجز والاستغلال) خارج قاعدة الحصص</w:t>
            </w:r>
          </w:p>
        </w:tc>
      </w:tr>
    </w:tbl>
    <w:p>
      <w:pPr>
        <w:bidi/>
        <w:spacing w:after="120" w:before="0"/>
      </w:pPr>
    </w:p>
    <w:p>
      <w:pPr>
        <w:pStyle w:val="Heading1"/>
        <w:bidi/>
      </w:pPr>
      <w:bookmarkStart w:name="_sec56" w:id="56"/>
      <w:r>
        <w:rPr>
          <w:rFonts w:ascii="Arial" w:cs="Arial" w:eastAsia="Arial" w:hAnsi="Arial"/>
          <w:b/>
          <w:bCs/>
          <w:color w:val="1F3A5F"/>
          <w:sz w:val="32"/>
          <w:szCs w:val="32"/>
          <w:rtl/>
        </w:rPr>
        <w:t xml:space="preserve">15. القرارات المتخذة (تُعتمد ما لم تعترض)</w:t>
      </w:r>
      <w:bookmarkEnd w:id="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4217"/>
        <w:gridCol w:w="4670"/>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2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6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داخل القاعدة وربط الاتصال برمز الجلسة (ADR 0002)؛ إجراءات 030 تعمل بصفة </w:t>
            </w:r>
            <w:r>
              <w:rPr>
                <w:rFonts w:ascii="Courier New" w:cs="Courier New" w:eastAsia="Courier New" w:hAnsi="Courier New"/>
                <w:b w:val="false"/>
                <w:bCs w:val="false"/>
                <w:color w:val="1F2937"/>
                <w:sz w:val="16"/>
                <w:szCs w:val="16"/>
                <w:shd w:fill="F1F3F5" w:color="auto" w:val="clear"/>
                <w:rtl/>
              </w:rPr>
              <w:t xml:space="preserve">‎tp_auth_exec‎</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الإصلاحات الحرجة العشرة</w:t>
            </w:r>
            <w:r>
              <w:rPr>
                <w:rFonts w:ascii="Arial" w:cs="Arial" w:eastAsia="Arial" w:hAnsi="Arial"/>
                <w:b w:val="false"/>
                <w:bCs w:val="false"/>
                <w:sz w:val="18"/>
                <w:szCs w:val="18"/>
                <w:rtl/>
              </w:rPr>
              <w:t xml:space="preserve"> (DR-01 إلى DR-10، C-12)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مُعتمدة ومُطبَّقة: كتالوجات مملوكة للمشترك بنسخ لكل مشترك (§11.3)، ومفتاح الغرض في مفاتيح التشفير، وأقواس المالك الخارجية والمراجع المركّبة (§11.2)،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w:t>
            </w:r>
          </w:p>
        </w:tc>
      </w:tr>
    </w:tbl>
    <w:p>
      <w:pPr>
        <w:bidi/>
        <w:spacing w:after="120" w:before="0"/>
      </w:pPr>
    </w:p>
    <w:p>
      <w:pPr>
        <w:pStyle w:val="Heading1"/>
        <w:bidi/>
      </w:pPr>
      <w:bookmarkStart w:name="_sec57" w:id="57"/>
      <w:r>
        <w:rPr>
          <w:rFonts w:ascii="Arial" w:cs="Arial" w:eastAsia="Arial" w:hAnsi="Arial"/>
          <w:b/>
          <w:bCs/>
          <w:color w:val="1F3A5F"/>
          <w:sz w:val="32"/>
          <w:szCs w:val="32"/>
          <w:rtl/>
        </w:rPr>
        <w:t xml:space="preserve">16. حدود معروفة ونقاط مفتوحة</w:t>
      </w:r>
      <w:bookmarkEnd w:id="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2"/>
        <w:gridCol w:w="3998"/>
        <w:gridCol w:w="1486"/>
        <w:gridCol w:w="3438"/>
      </w:tblGrid>
      <w:tr>
        <w:trPr>
          <w:cantSplit/>
          <w:tblHeader/>
        </w:trPr>
        <w:tc>
          <w:tcPr>
            <w:tcW w:type="dxa" w:w="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w:t>
            </w:r>
            <w:r>
              <w:rPr>
                <w:rFonts w:ascii="Arial" w:cs="Arial" w:eastAsia="Arial" w:hAnsi="Arial"/>
                <w:b w:val="false"/>
                <w:bCs w:val="false"/>
                <w:sz w:val="18"/>
                <w:szCs w:val="18"/>
                <w:rtl/>
              </w:rPr>
              <w:t xml:space="preserve"> (§14)</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في بيئة التطوير:</w:t>
            </w:r>
            <w:r>
              <w:rPr>
                <w:rFonts w:ascii="Arial" w:cs="Arial" w:eastAsia="Arial" w:hAnsi="Arial"/>
                <w:b w:val="false"/>
                <w:bCs w:val="false"/>
                <w:sz w:val="18"/>
                <w:szCs w:val="18"/>
                <w:rtl/>
              </w:rPr>
              <w:t xml:space="preserve"> النشر الكامل على SQL Server 2025 يمر في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مع 41 حالة عزل و6 لقاعدة الحصص</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يمر أيضًا على GitHub (</w:t>
            </w:r>
            <w:r>
              <w:rPr>
                <w:rFonts w:ascii="Courier New" w:cs="Courier New" w:eastAsia="Courier New" w:hAnsi="Courier New"/>
                <w:b w:val="false"/>
                <w:bCs w:val="false"/>
                <w:color w:val="1F2937"/>
                <w:sz w:val="16"/>
                <w:szCs w:val="16"/>
                <w:shd w:fill="F1F3F5" w:color="auto" w:val="clear"/>
                <w:rtl/>
              </w:rPr>
              <w:t xml:space="preserve">‎.github/workflows/treasury-db-ci.yml‎</w:t>
            </w:r>
            <w:r>
              <w:rPr>
                <w:rFonts w:ascii="Arial" w:cs="Arial" w:eastAsia="Arial" w:hAnsi="Arial"/>
                <w:b w:val="false"/>
                <w:bCs w:val="false"/>
                <w:sz w:val="18"/>
                <w:szCs w:val="18"/>
                <w:rtl/>
              </w:rPr>
              <w:t xml:space="preserve"> في جذر المستودع)؛ يبقى النشر على خادم الإنتاج (O-02، erd_open_items)</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(DbUp أو Flyway) عند أول نشر فعلي على بيانات حقيقية</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(§13)</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البذر العالمي منفّذ (2026-10-13):</w:t>
            </w:r>
            <w:r>
              <w:rPr>
                <w:rFonts w:ascii="Arial" w:cs="Arial" w:eastAsia="Arial" w:hAnsi="Arial"/>
                <w:b w:val="false"/>
                <w:bCs w:val="false"/>
                <w:sz w:val="18"/>
                <w:szCs w:val="18"/>
                <w:rtl/>
              </w:rPr>
              <w:t xml:space="preserve"> الإعدادات والمهام والباقة والعناوين المحجوزة والدول والعملات والصلاحيات وIncoterms ومواد UCP 600 (ADR 0004 و0005)</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 حزم المشترك في التطبيق (DOC-B05 §5)، والتحقق من مواد UCP على النص الرسمي (O-06)</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(3)</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إجراءات ضيقة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‎usp_SetAuthContext‎</w:t>
            </w:r>
            <w:r>
              <w:rPr>
                <w:rFonts w:ascii="Arial" w:cs="Arial" w:eastAsia="Arial" w:hAnsi="Arial"/>
                <w:b w:val="false"/>
                <w:bCs w:val="false"/>
                <w:sz w:val="18"/>
                <w:szCs w:val="18"/>
                <w:rtl/>
              </w:rPr>
              <w:t xml:space="preserve"> (ADR 0002 وADR 0003، DQ-F03-1): </w:t>
            </w:r>
            <w:r>
              <w:rPr>
                <w:rFonts w:ascii="Courier New" w:cs="Courier New" w:eastAsia="Courier New" w:hAnsi="Courier New"/>
                <w:b w:val="false"/>
                <w:bCs w:val="false"/>
                <w:color w:val="1F2937"/>
                <w:sz w:val="16"/>
                <w:szCs w:val="16"/>
                <w:shd w:fill="F1F3F5" w:color="auto" w:val="clear"/>
                <w:rtl/>
              </w:rPr>
              <w:t xml:space="preserve">‎usp_ResolveTenant‎</w:t>
            </w:r>
            <w:r>
              <w:rPr>
                <w:rFonts w:ascii="Arial" w:cs="Arial" w:eastAsia="Arial" w:hAnsi="Arial"/>
                <w:b w:val="false"/>
                <w:bCs w:val="false"/>
                <w:sz w:val="18"/>
                <w:szCs w:val="18"/>
                <w:rtl/>
              </w:rPr>
              <w:t xml:space="preserve"> والدخول وMFA والدعوة وإعادة التعيين في 030 و035</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كانت تجعل الإكمال تلقائيًا عند المرحلة الأخيرة</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w:t>
            </w:r>
            <w:r>
              <w:rPr>
                <w:rFonts w:ascii="Arial" w:cs="Arial" w:eastAsia="Arial" w:hAnsi="Arial"/>
                <w:b w:val="false"/>
                <w:bCs w:val="false"/>
                <w:sz w:val="18"/>
                <w:szCs w:val="18"/>
                <w:rtl/>
              </w:rPr>
              <w:t xml:space="preserve"> اعتمد المالك النموذج الموحّد (DQ-F08-1، والرفض والإلغاء فوريان DQ-F08-2)، وعُدّلت المواصفة 13 (BR-WFL-027، FR-WFL-042، مخطط الحالات،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وأُضيف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‎ExitAction‎</w:t>
            </w:r>
            <w:r>
              <w:rPr>
                <w:rFonts w:ascii="Arial" w:cs="Arial" w:eastAsia="Arial" w:hAnsi="Arial"/>
                <w:b w:val="false"/>
                <w:bCs w:val="false"/>
                <w:sz w:val="18"/>
                <w:szCs w:val="18"/>
                <w:rtl/>
              </w:rPr>
              <w:t xml:space="preserve"> (DQ-F08-6)</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الربط برمز جلسة يصدره الدخول داخل القاعدة (ADR 0002، O-17 erd_open_items)؛ ومخاطر داخل المشترك (O-24) أُغلقت بـ ADR 0003 عدا ما يذكره</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للتهيئة والحالة والدعم (2026-10-12،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إجراءات الإصلاح تُكتب عند الحاجة، كل منها بإجراء مُراجَع</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غير قابل للتعديل أو تجزئة منشورة دوريًا؛ قرار تشغيلي</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O-15</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36 نتيجة رئيسية و4 طفيفة</w:t>
            </w:r>
            <w:r>
              <w:rPr>
                <w:rFonts w:ascii="Arial" w:cs="Arial" w:eastAsia="Arial" w:hAnsi="Arial"/>
                <w:b w:val="false"/>
                <w:bCs w:val="false"/>
                <w:sz w:val="18"/>
                <w:szCs w:val="18"/>
                <w:rtl/>
              </w:rPr>
              <w:t xml:space="preserve"> من المراجعة (</w:t>
            </w:r>
            <w:r>
              <w:rPr>
                <w:rFonts w:ascii="Courier New" w:cs="Courier New" w:eastAsia="Courier New" w:hAnsi="Courier New"/>
                <w:b w:val="false"/>
                <w:bCs w:val="false"/>
                <w:color w:val="1F2937"/>
                <w:sz w:val="16"/>
                <w:szCs w:val="16"/>
                <w:shd w:fill="F1F3F5" w:color="auto" w:val="clear"/>
                <w:rtl/>
              </w:rPr>
              <w:t xml:space="preserve">‎docs/review/design-review-2026-10-11.json‎</w:t>
            </w:r>
            <w:r>
              <w:rPr>
                <w:rFonts w:ascii="Arial" w:cs="Arial" w:eastAsia="Arial" w:hAnsi="Arial"/>
                <w:b w:val="false"/>
                <w:bCs w:val="false"/>
                <w:sz w:val="18"/>
                <w:szCs w:val="18"/>
                <w:rtl/>
              </w:rPr>
              <w:t xml:space="preserve">)</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بعضها يغيّر أعمدة أو قيودًا</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 ADR 0011):</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الدفعة (أ) مُطبَّقة في 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r>
              <w:rPr>
                <w:rFonts w:ascii="Arial" w:cs="Arial" w:eastAsia="Arial" w:hAnsi="Arial"/>
                <w:b w:val="false"/>
                <w:bCs w:val="false"/>
                <w:sz w:val="18"/>
                <w:szCs w:val="18"/>
                <w:rtl/>
              </w:rPr>
              <w:t xml:space="preserve">، الاختبارات RF1 إلى RF18،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في CI)؛ ست نتائج والأجزاء الباقية شروط دخول لشرائحها (S1 إلى S4)، وDR-20 محلولة بـ DR-02</w:t>
            </w:r>
          </w:p>
        </w:tc>
      </w:tr>
    </w:tbl>
    <w:p>
      <w:pPr>
        <w:bidi/>
        <w:spacing w:after="120" w:before="0"/>
      </w:pPr>
    </w:p>
    <w:p>
      <w:pPr>
        <w:pStyle w:val="Heading1"/>
        <w:bidi/>
      </w:pPr>
      <w:bookmarkStart w:name="_sec58" w:id="58"/>
      <w:r>
        <w:rPr>
          <w:rFonts w:ascii="Arial" w:cs="Arial" w:eastAsia="Arial" w:hAnsi="Arial"/>
          <w:b/>
          <w:bCs/>
          <w:color w:val="1F3A5F"/>
          <w:sz w:val="32"/>
          <w:szCs w:val="32"/>
          <w:rtl/>
        </w:rPr>
        <w:t xml:space="preserve">17. الخطوة التالية</w:t>
      </w:r>
      <w:bookmarkEnd w:id="58"/>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DB-21 والنقاط O-9 إلى O-13 و O-15، وما بقي من البنود المفتوحة في §16. تعديل المواصفة 13 (O-10) ونتائج المراجعة الـ40 (O-15) حُسما وطُبّقا (DQ-F08-1، ADR 0011).</w:t>
      </w:r>
    </w:p>
    <w:p>
      <w:pPr>
        <w:pStyle w:val="ListParagraph"/>
        <w:numPr>
          <w:ilvl w:val="0"/>
          <w:numId w:val="6"/>
        </w:numPr>
        <w:bidi/>
        <w:spacing w:after="70" w:before="0" w:line="300"/>
      </w:pPr>
      <w:r>
        <w:rPr>
          <w:rFonts w:ascii="Arial" w:cs="Arial" w:eastAsia="Arial" w:hAnsi="Arial"/>
          <w:b w:val="false"/>
          <w:bCs w:val="false"/>
          <w:sz w:val="21"/>
          <w:szCs w:val="21"/>
          <w:rtl/>
        </w:rPr>
        <w:t xml:space="preserve">النشر على SQL Server 2025 تم في بيئة التطوير ويمر CI (O-1)؛ ويمر على GitHub أيضًا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يبقى النشر على خادم الإنتاج (O-02، erd_open_items).</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الواجهات والشريحة الرأسية S0. O-9 وO-11 محلولان بـ ADR 0002 وADR 0003، وO-12 للتهيئة والدعم بـ ADR 0004.</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BankFas — وثيقة تصميم قاعدة البيانات · v0.2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394afd22ce9e6c7945c20880b9406609bf5a77f0.png"/><Relationship Id="rId11" Type="http://schemas.openxmlformats.org/officeDocument/2006/relationships/image" Target="media/b75998481ab0ef1db4e242cf4d90e3edd0b0a4e1.png"/><Relationship Id="rId12" Type="http://schemas.openxmlformats.org/officeDocument/2006/relationships/image" Target="media/4ad4f4f04db814c06fe09eb83de4ee1a8a575f35.png"/><Relationship Id="rId13" Type="http://schemas.openxmlformats.org/officeDocument/2006/relationships/image" Target="media/be83d5234ab436c775cf8073134d6ec6de67b4dd.png"/><Relationship Id="rId14" Type="http://schemas.openxmlformats.org/officeDocument/2006/relationships/image" Target="media/ccd74172f3ed1cd5cb100816c861ebc827158a09.png"/><Relationship Id="rId15" Type="http://schemas.openxmlformats.org/officeDocument/2006/relationships/image" Target="media/7705d20367e1f51f25d506de34fff10fa4d825b8.png"/><Relationship Id="rId16" Type="http://schemas.openxmlformats.org/officeDocument/2006/relationships/image" Target="media/453ceb65db8dbdc4611e880fb6528b3b89ed7a7f.png"/><Relationship Id="rId17" Type="http://schemas.openxmlformats.org/officeDocument/2006/relationships/image" Target="media/c4bc73c93b3f1feffb83dd8ef904e0b7ed38b8b5.png"/><Relationship Id="rId18" Type="http://schemas.openxmlformats.org/officeDocument/2006/relationships/image" Target="media/7cd68bdf1359be093e117453c4a4db2130cd0dde.png"/><Relationship Id="rId19" Type="http://schemas.openxmlformats.org/officeDocument/2006/relationships/image" Target="media/8ac7062f750d3d62e7b0b1b14dc6978ff8d85341.png"/><Relationship Id="rId20" Type="http://schemas.openxmlformats.org/officeDocument/2006/relationships/image" Target="media/60c57410e6b8d60c8d80de1c5586d72eda4f3b5e.png"/><Relationship Id="rId21" Type="http://schemas.openxmlformats.org/officeDocument/2006/relationships/image" Target="media/1ce3ec9db093e8fb89c08e1ada07c16feb954b86.png"/><Relationship Id="rId22" Type="http://schemas.openxmlformats.org/officeDocument/2006/relationships/image" Target="media/5302c6bfb0a2969ad09067f0426cbc703ecca30e.png"/><Relationship Id="rId23" Type="http://schemas.openxmlformats.org/officeDocument/2006/relationships/image" Target="media/47ddc3bbb6df68b60ebd689eddfdc422747f73f4.png"/><Relationship Id="rId24" Type="http://schemas.openxmlformats.org/officeDocument/2006/relationships/image" Target="media/7008bc244f86ea28562c3e07ecd466b89506f6b3.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وثيقة تصميم قاعدة البيانات — BankFas</dc:title>
  <dc:creator>Claude</dc:creator>
  <dc:description>BankFas database design document</dc:description>
  <cp:lastModifiedBy>Un-named</cp:lastModifiedBy>
  <cp:revision>1</cp:revision>
  <dcterms:created xsi:type="dcterms:W3CDTF">2026-10-13T19:37:11.486Z</dcterms:created>
  <dcterms:modified xsi:type="dcterms:W3CDTF">2026-10-13T19:37:11.488Z</dcterms:modified>
</cp:coreProperties>
</file>

<file path=docProps/custom.xml><?xml version="1.0" encoding="utf-8"?>
<Properties xmlns="http://schemas.openxmlformats.org/officeDocument/2006/custom-properties" xmlns:vt="http://schemas.openxmlformats.org/officeDocument/2006/docPropsVTypes"/>
</file>