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DOC-B05 — خطة البذر والترحيل الأولي</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7"/>
        <w:gridCol w:w="8687"/>
      </w:tblGrid>
      <w:tr>
        <w:trPr>
          <w:cantSplit/>
          <w:tblHeader/>
        </w:trPr>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DOC-B05 (docs/30-readiness-documents.md)</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 مع مالك الكتالوجات (docs/30-readiness-documents.md:51)</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 FR-PLT-017، FR-PLT-043، FR-CAT-002، FR-CAT-018، FR-CAT-019، FR-CAT-021، FR-CAT-026، BR-CAT-002، BR-CAT-015، BR-CAT-018، Q-CAT-01، Q-CAT-03، Q-ORG-10، Q-INS-01، O-3 وO-2 (20-database-design)</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 DOC-S02، DOC-S06، DOC-S07، DOC-S08، DOC-B01، DOC-B04، DOC-B09، DOC-B11</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 db/model/10-platform.model، 11-organization-party.model، 12-institutions-accounts-catalogs.model، 14-…، 15-…، 16-…، db/generated/tsql/001_tables.sql، db/static/010_rls.sql، db/tests/tenant_isolation_tests.sql، docs/10-detailed-analysis/00-overview-and-cross-cutting.md، 10-m0-m1…، 11-m2-m4…، docs/20-database-design.md</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ما يوجد اليوم</w:t>
        </w:r>
      </w:hyperlink>
    </w:p>
    <w:p>
      <w:pPr>
        <w:bidi/>
        <w:spacing w:after="50" w:before="0"/>
        <w:ind w:left="0"/>
      </w:pPr>
      <w:hyperlink w:history="1" w:anchor="_sec3">
        <w:r>
          <w:rPr>
            <w:rFonts w:ascii="Arial" w:cs="Arial" w:eastAsia="Arial" w:hAnsi="Arial"/>
            <w:b/>
            <w:bCs/>
            <w:color w:val="1F3A5F"/>
            <w:sz w:val="20"/>
            <w:szCs w:val="20"/>
            <w:rtl/>
          </w:rPr>
          <w:t xml:space="preserve">3. طبقات التحميل</w:t>
        </w:r>
      </w:hyperlink>
    </w:p>
    <w:p>
      <w:pPr>
        <w:bidi/>
        <w:spacing w:after="50" w:before="0"/>
        <w:ind w:left="0"/>
      </w:pPr>
      <w:hyperlink w:history="1" w:anchor="_sec4">
        <w:r>
          <w:rPr>
            <w:rFonts w:ascii="Arial" w:cs="Arial" w:eastAsia="Arial" w:hAnsi="Arial"/>
            <w:b/>
            <w:bCs/>
            <w:color w:val="1F3A5F"/>
            <w:sz w:val="20"/>
            <w:szCs w:val="20"/>
            <w:rtl/>
          </w:rPr>
          <w:t xml:space="preserve">4. بذر المنصة (عالمي)</w:t>
        </w:r>
      </w:hyperlink>
    </w:p>
    <w:p>
      <w:pPr>
        <w:bidi/>
        <w:spacing w:after="50" w:before="0"/>
        <w:ind w:left="0"/>
      </w:pPr>
      <w:hyperlink w:history="1" w:anchor="_sec8">
        <w:r>
          <w:rPr>
            <w:rFonts w:ascii="Arial" w:cs="Arial" w:eastAsia="Arial" w:hAnsi="Arial"/>
            <w:b/>
            <w:bCs/>
            <w:color w:val="1F3A5F"/>
            <w:sz w:val="20"/>
            <w:szCs w:val="20"/>
            <w:rtl/>
          </w:rPr>
          <w:t xml:space="preserve">5. بذر المشترك عند التهيئة</w:t>
        </w:r>
      </w:hyperlink>
    </w:p>
    <w:p>
      <w:pPr>
        <w:bidi/>
        <w:spacing w:after="50" w:before="0"/>
        <w:ind w:left="0"/>
      </w:pPr>
      <w:hyperlink w:history="1" w:anchor="_sec11">
        <w:r>
          <w:rPr>
            <w:rFonts w:ascii="Arial" w:cs="Arial" w:eastAsia="Arial" w:hAnsi="Arial"/>
            <w:b/>
            <w:bCs/>
            <w:color w:val="1F3A5F"/>
            <w:sz w:val="20"/>
            <w:szCs w:val="20"/>
            <w:rtl/>
          </w:rPr>
          <w:t xml:space="preserve">6. قواعد التكرار الآمن والإصدار</w:t>
        </w:r>
      </w:hyperlink>
    </w:p>
    <w:p>
      <w:pPr>
        <w:bidi/>
        <w:spacing w:after="50" w:before="0"/>
        <w:ind w:left="0"/>
      </w:pPr>
      <w:hyperlink w:history="1" w:anchor="_sec12">
        <w:r>
          <w:rPr>
            <w:rFonts w:ascii="Arial" w:cs="Arial" w:eastAsia="Arial" w:hAnsi="Arial"/>
            <w:b/>
            <w:bCs/>
            <w:color w:val="1F3A5F"/>
            <w:sz w:val="20"/>
            <w:szCs w:val="20"/>
            <w:rtl/>
          </w:rPr>
          <w:t xml:space="preserve">7. الترحيل الأولي من Excel</w:t>
        </w:r>
      </w:hyperlink>
    </w:p>
    <w:p>
      <w:pPr>
        <w:bidi/>
        <w:spacing w:after="50" w:before="0"/>
        <w:ind w:left="0"/>
      </w:pPr>
      <w:hyperlink w:history="1" w:anchor="_sec16">
        <w:r>
          <w:rPr>
            <w:rFonts w:ascii="Arial" w:cs="Arial" w:eastAsia="Arial" w:hAnsi="Arial"/>
            <w:b/>
            <w:bCs/>
            <w:color w:val="1F3A5F"/>
            <w:sz w:val="20"/>
            <w:szCs w:val="20"/>
            <w:rtl/>
          </w:rPr>
          <w:t xml:space="preserve">8. الاختبارات (تُنقل إلى DOC-B01)</w:t>
        </w:r>
      </w:hyperlink>
    </w:p>
    <w:p>
      <w:pPr>
        <w:bidi/>
        <w:spacing w:after="50" w:before="0"/>
        <w:ind w:left="0"/>
      </w:pPr>
      <w:hyperlink w:history="1" w:anchor="_sec17">
        <w:r>
          <w:rPr>
            <w:rFonts w:ascii="Arial" w:cs="Arial" w:eastAsia="Arial" w:hAnsi="Arial"/>
            <w:b/>
            <w:bCs/>
            <w:color w:val="1F3A5F"/>
            <w:sz w:val="20"/>
            <w:szCs w:val="20"/>
            <w:rtl/>
          </w:rPr>
          <w:t xml:space="preserve">9. القرارات المطلوبة</w:t>
        </w:r>
      </w:hyperlink>
    </w:p>
    <w:p>
      <w:pPr>
        <w:bidi/>
        <w:spacing w:after="50" w:before="0"/>
        <w:ind w:left="0"/>
      </w:pPr>
      <w:hyperlink w:history="1" w:anchor="_sec18">
        <w:r>
          <w:rPr>
            <w:rFonts w:ascii="Arial" w:cs="Arial" w:eastAsia="Arial" w:hAnsi="Arial"/>
            <w:b/>
            <w:bCs/>
            <w:color w:val="1F3A5F"/>
            <w:sz w:val="20"/>
            <w:szCs w:val="20"/>
            <w:rtl/>
          </w:rPr>
          <w:t xml:space="preserve">10. تعارضات وفجوات في المصادر</w:t>
        </w:r>
      </w:hyperlink>
    </w:p>
    <w:p>
      <w:pPr>
        <w:bidi/>
        <w:spacing w:after="50" w:before="0"/>
        <w:ind w:left="0"/>
      </w:pPr>
      <w:hyperlink w:history="1" w:anchor="_sec19">
        <w:r>
          <w:rPr>
            <w:rFonts w:ascii="Arial" w:cs="Arial" w:eastAsia="Arial" w:hAnsi="Arial"/>
            <w:b/>
            <w:bCs/>
            <w:color w:val="1F3A5F"/>
            <w:sz w:val="20"/>
            <w:szCs w:val="20"/>
            <w:rtl/>
          </w:rPr>
          <w:t xml:space="preserve">11. التتبع</w:t>
        </w:r>
      </w:hyperlink>
    </w:p>
    <w:p>
      <w:r>
        <w:br w:type="page"/>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بدأ بذر المنصة في db/seed/100_platform_global.sql ضمن ترتيب النشر (§4.3)، وهو آمن لإعادة التشغيل وتتحقق منه الخطوة 4b في CI: مفاتيح الإعدادات الأمنية الست، وقائمة المهام الثلاثون، والباقة STANDARD بكل الوحدات (DQ-B05-4)، و23 عنوانًا محجوزًا. وأول مشغّل يُنشأ بإجراء التمهيد </w:t>
      </w:r>
      <w:r>
        <w:rPr>
          <w:rFonts w:ascii="Courier New" w:cs="Courier New" w:eastAsia="Courier New" w:hAnsi="Courier New"/>
          <w:b w:val="false"/>
          <w:bCs w:val="false"/>
          <w:color w:val="1F2937"/>
          <w:sz w:val="18"/>
          <w:szCs w:val="18"/>
          <w:shd w:fill="F1F3F5" w:color="auto" w:val="clear"/>
          <w:rtl/>
        </w:rPr>
        <w:t xml:space="preserve">‎plat.usp_BootstrapOperator‎</w:t>
      </w:r>
      <w:r>
        <w:rPr>
          <w:rFonts w:ascii="Arial" w:cs="Arial" w:eastAsia="Arial" w:hAnsi="Arial"/>
          <w:b w:val="false"/>
          <w:bCs w:val="false"/>
          <w:sz w:val="20"/>
          <w:szCs w:val="20"/>
          <w:rtl/>
        </w:rPr>
        <w:t xml:space="preserve"> بدعوة (DQ-B05-7، DQ-F07-3). وبُذرت بعدها (ADR 0005): قوائم الدول والعملات في db/seed/101_iso_reference.sql (249 دولة و157 عملة فعّالة، بإصدار ISO مسجَّل في رأس الملف: iso-codes 4.16.0-1 مع تعديلات ISO 4217 اللاحقة، والأسماء العربية من CLDR، والكسور من وحدات ISO 4217؛ دون العملات الملغاة والمعادن ووحدات الحساب والعملتين ذواتي الخانات الأربع؛ ورمز الاتصال وعطلة الأسبوع لدول الخليج الست فقط، DQ-B05-5)، ورموز الصلاحيات الـ138 في db/seed/102_permissions.sql بأسمائها ووحداتها، خمس منها مقفلة على TM وFO (DQ-F07-1، DQ-F09-1). الملفان مولَّدان (tools/dbgen/gen_iso_seed.py وgen_permission_seed.py)، والخطوة 2 في CI تعيد توليد الصلاحيات من المستندات وتطابقها. باقٍ: رموز الاتصال لغير الخليج من مصدر ITU، وتأكيد عطلات الخليج (Q-CAT-12، O-25).</w:t>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val="false"/>
          <w:bCs w:val="false"/>
          <w:sz w:val="21"/>
          <w:szCs w:val="21"/>
          <w:rtl/>
        </w:rPr>
        <w:t xml:space="preserve">تحدد الوثيقة ثلاث طبقات للبيانات الأولى:</w:t>
      </w:r>
    </w:p>
    <w:p>
      <w:pPr>
        <w:pStyle w:val="ListParagraph"/>
        <w:numPr>
          <w:ilvl w:val="0"/>
          <w:numId w:val="2"/>
        </w:numPr>
        <w:bidi/>
        <w:spacing w:after="70" w:before="0" w:line="300"/>
      </w:pPr>
      <w:r>
        <w:rPr>
          <w:rFonts w:ascii="Arial" w:cs="Arial" w:eastAsia="Arial" w:hAnsi="Arial"/>
          <w:b w:val="false"/>
          <w:bCs w:val="false"/>
          <w:sz w:val="21"/>
          <w:szCs w:val="21"/>
          <w:rtl/>
        </w:rPr>
        <w:t xml:space="preserve">بذر المنصة: المراجع العالمية التي تُنشر مع القاعدة.</w:t>
      </w:r>
    </w:p>
    <w:p>
      <w:pPr>
        <w:pStyle w:val="ListParagraph"/>
        <w:numPr>
          <w:ilvl w:val="0"/>
          <w:numId w:val="2"/>
        </w:numPr>
        <w:bidi/>
        <w:spacing w:after="70" w:before="0" w:line="300"/>
      </w:pPr>
      <w:r>
        <w:rPr>
          <w:rFonts w:ascii="Arial" w:cs="Arial" w:eastAsia="Arial" w:hAnsi="Arial"/>
          <w:b w:val="false"/>
          <w:bCs w:val="false"/>
          <w:sz w:val="21"/>
          <w:szCs w:val="21"/>
          <w:rtl/>
        </w:rPr>
        <w:t xml:space="preserve">بذر المشترك: الحزم التي تُنسخ لكل مشترك عند التهيئة.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الترحيل الأولي: تحميل الشركات والبنوك والعلاقات والحسابات من قوالب Excel.</w:t>
      </w:r>
    </w:p>
    <w:p>
      <w:pPr>
        <w:bidi/>
        <w:spacing w:after="60" w:before="0"/>
      </w:pPr>
    </w:p>
    <w:p>
      <w:pPr>
        <w:bidi/>
        <w:spacing w:after="110" w:before="0" w:line="312"/>
      </w:pPr>
      <w:r>
        <w:rPr>
          <w:rFonts w:ascii="Arial" w:cs="Arial" w:eastAsia="Arial" w:hAnsi="Arial"/>
          <w:b w:val="false"/>
          <w:bCs w:val="false"/>
          <w:sz w:val="21"/>
          <w:szCs w:val="21"/>
          <w:rtl/>
        </w:rPr>
        <w:t xml:space="preserve">لكل قائمة: مصدرها، ومن يقرّ محتواها، وشريحتها، وكيف تبقى إعادة التشغيل آمنة. تسلسل التهيئة نفسه وفشلها وتراجعها في DOC-F05. المفاتيح التي يحتاجها تشفير الحسابات في DOC-S02. رموز الأدوار في عمود المالك معرّفة في DOC-B09 (OWN مالك المنتج، TRM مدير الخزينة، SEC الأمن، DBA قاعدة البيانات، OPS التشغيل، LEG القانوني ومسؤول حماية البيانات).</w:t>
      </w:r>
    </w:p>
    <w:p>
      <w:pPr>
        <w:pStyle w:val="Heading1"/>
        <w:bidi/>
      </w:pPr>
      <w:bookmarkStart w:name="_sec2" w:id="2"/>
      <w:r>
        <w:rPr>
          <w:rFonts w:ascii="Arial" w:cs="Arial" w:eastAsia="Arial" w:hAnsi="Arial"/>
          <w:b/>
          <w:bCs/>
          <w:color w:val="1F3A5F"/>
          <w:sz w:val="32"/>
          <w:szCs w:val="32"/>
          <w:rtl/>
        </w:rPr>
        <w:t xml:space="preserve">2. ما يوجد اليوم</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14"/>
        <w:gridCol w:w="6650"/>
      </w:tblGrid>
      <w:tr>
        <w:trPr>
          <w:cantSplit/>
          <w:tblHeader/>
        </w:trPr>
        <w:tc>
          <w:tcPr>
            <w:tcW w:type="dxa" w:w="32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الحقيقة</w:t>
            </w:r>
          </w:p>
        </w:tc>
        <w:tc>
          <w:tcPr>
            <w:tcW w:type="dxa" w:w="66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توجد بيانات بذر في المستودع. عبارات INSERT الوحيدة تملأ الجدول المؤقت #rls_tables</w:t>
            </w:r>
          </w:p>
        </w:tc>
        <w:tc>
          <w:tcPr>
            <w:tcW w:type="dxa" w:w="6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db/generated/tsql/004_rls_tables.sql:9-18</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ترتيب النشر لا يحوي خطوة بذر</w:t>
            </w:r>
          </w:p>
        </w:tc>
        <w:tc>
          <w:tcPr>
            <w:tcW w:type="dxa" w:w="6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db/deploy.sql:22-34</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العزل تعطّل المفاتيح الأجنبية لأن المراجع غير مبذورة، وتستعمل PlanId=1 وHomeCountryId=1 غير موجودين</w:t>
            </w:r>
          </w:p>
        </w:tc>
        <w:tc>
          <w:tcPr>
            <w:tcW w:type="dxa" w:w="6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db/tests/tenant_isolation_tests.sql:29-34، :69-73</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DDL غير قابل لإعادة التشغيل (CREATE TABLE بلا حراسة)، فالنشر لقاعدة جديدة فقط ولا مسار ترحيل</w:t>
            </w:r>
          </w:p>
        </w:tc>
        <w:tc>
          <w:tcPr>
            <w:tcW w:type="dxa" w:w="6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db/generated/tsql/001_tables.sql:8؛ docs/20-database-design.md:530 (O-2)</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علامة catalog تضيف SeedKey وفرادة (Tenant, SeedKey)</w:t>
            </w:r>
          </w:p>
        </w:tc>
        <w:tc>
          <w:tcPr>
            <w:tcW w:type="dxa" w:w="6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tools/dbgen/README.md:40</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SeedKey موجود أيضًا في: sec.Role، cfg.NumberSequenceDefinition، cfg.ExpiryAlertRule، org.Department، pty.CustomFieldDefinition، pty.KycProfile، pty.KycProfileItem، wfl.RequestType، wfl.WorkflowTemplate، ntf.NotificationEventType، ntf.NotificationRule، lc.LcFieldDefinition، lc.LcDocumentClause، ref.UcpArticle</w:t>
            </w:r>
          </w:p>
        </w:tc>
        <w:tc>
          <w:tcPr>
            <w:tcW w:type="dxa" w:w="6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db/model/10-platform.model:163، :451، :489؛ 11-organization-party.model:66، :388، :418، :439؛ 15-workflow-notifications.model:37، :84، :540، :561؛ 16-letters-of-credit.model:55، :81، :141</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تشغيل البذر cfg.SeedRun مملوك للمشترك (TenantId NOT NULL)</w:t>
            </w:r>
          </w:p>
        </w:tc>
        <w:tc>
          <w:tcPr>
            <w:tcW w:type="dxa" w:w="6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db/model/10-platform.model:572-584؛ db/generated/tsql/001_tables.sql:933-934</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جدولًا عالميًا بلا RLS، و3 مختلطة. صف المنصة في الجدول المختلط لا يكتبه إلا عضو tp_platform</w:t>
            </w:r>
          </w:p>
        </w:tc>
        <w:tc>
          <w:tcPr>
            <w:tcW w:type="dxa" w:w="6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db/generated/tsql/001_tables.sql؛ db/static/010_rls.sql:70-75؛ db/tests/tenant_isolation_tests.sql:107-110</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الكتالوجات كلها مملوكة للمشترك بعد DR-03، بما فيها الأشكال القانونية وقوائم القيم</w:t>
            </w:r>
          </w:p>
        </w:tc>
        <w:tc>
          <w:tcPr>
            <w:tcW w:type="dxa" w:w="6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docs/20-database-design.md:421-428؛ db/model/12-institutions-accounts-catalogs.model:61-79</w:t>
            </w:r>
          </w:p>
        </w:tc>
      </w:tr>
      <w:tr>
        <w:trPr>
          <w:cantSplit/>
        </w:trPr>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خطة البذر في وثيقة القاعدة «لم تُنفَّذ بعد»</w:t>
            </w:r>
          </w:p>
        </w:tc>
        <w:tc>
          <w:tcPr>
            <w:tcW w:type="dxa" w:w="6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docs/20-database-design.md:470-478</w:t>
            </w:r>
          </w:p>
        </w:tc>
      </w:tr>
      <w:tr>
        <w:trPr>
          <w:cantSplit/>
        </w:trPr>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قوالب Excel مذكورة في استراتيجية الاختبار دون أي متطلب FR</w:t>
            </w:r>
          </w:p>
        </w:tc>
        <w:tc>
          <w:tcPr>
            <w:tcW w:type="dxa" w:w="6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docs/10-detailed-analysis/00-overview-and-cross-cutting.md:219</w:t>
            </w:r>
          </w:p>
        </w:tc>
      </w:tr>
    </w:tbl>
    <w:p>
      <w:pPr>
        <w:bidi/>
        <w:spacing w:after="120" w:before="0"/>
      </w:pPr>
    </w:p>
    <w:p>
      <w:pPr>
        <w:pStyle w:val="Heading1"/>
        <w:bidi/>
      </w:pPr>
      <w:bookmarkStart w:name="_sec3" w:id="3"/>
      <w:r>
        <w:rPr>
          <w:rFonts w:ascii="Arial" w:cs="Arial" w:eastAsia="Arial" w:hAnsi="Arial"/>
          <w:b/>
          <w:bCs/>
          <w:color w:val="1F3A5F"/>
          <w:sz w:val="32"/>
          <w:szCs w:val="32"/>
          <w:rtl/>
        </w:rPr>
        <w:t xml:space="preserve">3. طبقات التحميل</w:t>
      </w:r>
      <w:bookmarkEnd w:id="3"/>
    </w:p>
    <w:p>
      <w:pPr>
        <w:keepNext/>
        <w:bidi/>
        <w:spacing w:after="60" w:before="160"/>
        <w:jc w:val="center"/>
      </w:pPr>
      <w:r>
        <w:drawing>
          <wp:inline distT="0" distB="0" distL="0" distR="0">
            <wp:extent cx="4667250" cy="8191500"/>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8191500"/>
                    </a:xfrm>
                    <a:prstGeom prst="rect">
                      <a:avLst/>
                    </a:prstGeom>
                  </pic:spPr>
                </pic:pic>
              </a:graphicData>
            </a:graphic>
          </wp:inline>
        </w:drawing>
      </w:r>
    </w:p>
    <w:p>
      <w:pPr>
        <w:pStyle w:val="Heading1"/>
        <w:bidi/>
      </w:pPr>
      <w:bookmarkStart w:name="_sec4" w:id="4"/>
      <w:r>
        <w:rPr>
          <w:rFonts w:ascii="Arial" w:cs="Arial" w:eastAsia="Arial" w:hAnsi="Arial"/>
          <w:b/>
          <w:bCs/>
          <w:color w:val="1F3A5F"/>
          <w:sz w:val="32"/>
          <w:szCs w:val="32"/>
          <w:rtl/>
        </w:rPr>
        <w:t xml:space="preserve">4. بذر المنصة (عالمي)</w:t>
      </w:r>
      <w:bookmarkEnd w:id="4"/>
    </w:p>
    <w:p>
      <w:pPr>
        <w:pStyle w:val="Heading2"/>
        <w:bidi/>
      </w:pPr>
      <w:bookmarkStart w:name="_sec5" w:id="5"/>
      <w:r>
        <w:rPr>
          <w:rFonts w:ascii="Arial" w:cs="Arial" w:eastAsia="Arial" w:hAnsi="Arial"/>
          <w:b/>
          <w:bCs/>
          <w:color w:val="2B5C8A"/>
          <w:sz w:val="26"/>
          <w:szCs w:val="26"/>
          <w:rtl/>
        </w:rPr>
        <w:t xml:space="preserve">4.1 الجداول والمحتوى</w:t>
      </w:r>
      <w:bookmarkEnd w:id="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65"/>
        <w:gridCol w:w="1281"/>
        <w:gridCol w:w="3846"/>
        <w:gridCol w:w="966"/>
        <w:gridCol w:w="2206"/>
      </w:tblGrid>
      <w:tr>
        <w:trPr>
          <w:cantSplit/>
          <w:tblHeader/>
        </w:trPr>
        <w:tc>
          <w:tcPr>
            <w:tcW w:type="dxa" w:w="15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2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c>
          <w:tcPr>
            <w:tcW w:type="dxa" w:w="38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9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يقرّه</w:t>
            </w:r>
          </w:p>
        </w:tc>
        <w:tc>
          <w:tcPr>
            <w:tcW w:type="dxa" w:w="22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ref.Country</w:t>
            </w:r>
          </w:p>
        </w:tc>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ISO 3166-1 كاملة؛ IsGcc وWeekendDays وDialCode للدول الست فقط، والعطلة الأسبوعية للتحقق </w:t>
            </w:r>
            <w:r>
              <w:rPr>
                <w:rFonts w:ascii="Arial" w:cs="Arial" w:eastAsia="Arial" w:hAnsi="Arial"/>
                <w:color w:val="E0A800"/>
                <w:sz w:val="18"/>
                <w:szCs w:val="18"/>
                <w:rtl/>
              </w:rPr>
              <w:t xml:space="preserve">●</w:t>
            </w:r>
          </w:p>
        </w:tc>
        <w:tc>
          <w:tcPr>
            <w:tcW w:type="dxa" w:w="3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11-m2-m4…:342؛ BR-CAT-018 (:256)؛ FR-CAT-026 (:189)</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ويستشير LEG للعطل</w:t>
            </w:r>
          </w:p>
        </w:tc>
        <w:tc>
          <w:tcPr>
            <w:tcW w:type="dxa" w:w="2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لأن Tenant.HomeCountryId إلزامي (db/model/10-platform.model:38)</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ref.Currency</w:t>
            </w:r>
          </w:p>
        </w:tc>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ISO 4217 كاملة بعدد الخانات العشرية</w:t>
            </w:r>
          </w:p>
        </w:tc>
        <w:tc>
          <w:tcPr>
            <w:tcW w:type="dxa" w:w="3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11-m2-m4…:341؛ db/model/12-institutions-accounts-catalogs.model:29-44</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ref.Incoterm</w:t>
            </w:r>
          </w:p>
        </w:tc>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قاعدة نشطة (2020) و5 قديمة LEGACY</w:t>
            </w:r>
          </w:p>
        </w:tc>
        <w:tc>
          <w:tcPr>
            <w:tcW w:type="dxa" w:w="3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11-m2-m4…:343؛ db/model/16-letters-of-credit.model:32-43</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للنشر، والاستعمال في S3</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ref.UcpArticle (صفوف المنصة)</w:t>
            </w:r>
          </w:p>
        </w:tc>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مواد UCP 600 بحالة UNVERIFIED</w:t>
            </w:r>
          </w:p>
        </w:tc>
        <w:tc>
          <w:tcPr>
            <w:tcW w:type="dxa" w:w="3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db/model/16-letters-of-credit.model:45-62؛ O-06 (erd_open_items)</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يتحقق</w:t>
            </w:r>
          </w:p>
        </w:tc>
        <w:tc>
          <w:tcPr>
            <w:tcW w:type="dxa" w:w="2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plat.Plan وplat.PlanModule</w:t>
            </w:r>
          </w:p>
        </w:tc>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قائمة باقات في الوثائق. نقترح باقة واحدة STANDARD بكل الوحدات وبلا حدود </w:t>
            </w:r>
            <w:r>
              <w:rPr>
                <w:rFonts w:ascii="Arial" w:cs="Arial" w:eastAsia="Arial" w:hAnsi="Arial"/>
                <w:color w:val="E0A800"/>
                <w:sz w:val="18"/>
                <w:szCs w:val="18"/>
                <w:rtl/>
              </w:rPr>
              <w:t xml:space="preserve">●</w:t>
            </w:r>
          </w:p>
        </w:tc>
        <w:tc>
          <w:tcPr>
            <w:tcW w:type="dxa" w:w="3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db/model/10-platform.model:14-29؛ Q-PLT-11</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2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plat.ReservedSubdomain</w:t>
            </w:r>
          </w:p>
        </w:tc>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www وadmin وapi وapp وغيرها</w:t>
            </w:r>
          </w:p>
        </w:tc>
        <w:tc>
          <w:tcPr>
            <w:tcW w:type="dxa" w:w="3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 (10-m0-m1…:148)؛ db/model/10-platform.model:58-62</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مع SEC</w:t>
            </w:r>
          </w:p>
        </w:tc>
        <w:tc>
          <w:tcPr>
            <w:tcW w:type="dxa" w:w="2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sec.Permission</w:t>
            </w:r>
          </w:p>
        </w:tc>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رموز الصلاحيات بنصها الحرفي من مصفوفات §2، وLockedToRoleCodes للصلاحيات الأربع المقفلة على TM وFO</w:t>
            </w:r>
          </w:p>
        </w:tc>
        <w:tc>
          <w:tcPr>
            <w:tcW w:type="dxa" w:w="3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FR-PLT-017 (10-m0-m1…:119)؛ FR-PLT-019 (:121)؛ BR-PLT-019 (:245)</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مع OWN</w:t>
            </w:r>
          </w:p>
        </w:tc>
        <w:tc>
          <w:tcPr>
            <w:tcW w:type="dxa" w:w="2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لرموز CORE، ثم رموز كل وحدة مع شريحتها</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cfg.SettingDefinition</w:t>
            </w:r>
          </w:p>
        </w:tc>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الإعداد وقيمها الافتراضية وحدودها: سياسة كلمة المرور، المهل، work.start وwork.end، العتبات</w:t>
            </w:r>
          </w:p>
        </w:tc>
        <w:tc>
          <w:tcPr>
            <w:tcW w:type="dxa" w:w="3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 (10-m0-m1…:145)؛ BR-PLT-018 (:244)؛ db/model/10-platform.model:426-436</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للأمنية، TRM للتشغيلية</w:t>
            </w:r>
          </w:p>
        </w:tc>
        <w:tc>
          <w:tcPr>
            <w:tcW w:type="dxa" w:w="2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5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cfg.NonWorkingDay (صفوف المنصة)</w:t>
            </w:r>
          </w:p>
        </w:tc>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العطل الرسمية لكل دولة؛ يدخلها المشغّل من الشاشة ولا تُبذر من المستودع </w:t>
            </w:r>
            <w:r>
              <w:rPr>
                <w:rFonts w:ascii="Arial" w:cs="Arial" w:eastAsia="Arial" w:hAnsi="Arial"/>
                <w:color w:val="E0A800"/>
                <w:sz w:val="18"/>
                <w:szCs w:val="18"/>
                <w:rtl/>
              </w:rPr>
              <w:t xml:space="preserve">●</w:t>
            </w:r>
          </w:p>
        </w:tc>
        <w:tc>
          <w:tcPr>
            <w:tcW w:type="dxa" w:w="3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Q-PLT-09 (90-consolidated…:19)؛ شاشة 4 (10-m0-m1…:376)</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بصفة مشغّل</w:t>
            </w:r>
          </w:p>
        </w:tc>
        <w:tc>
          <w:tcPr>
            <w:tcW w:type="dxa" w:w="2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 (FR-PLT-035)</w:t>
            </w:r>
          </w:p>
        </w:tc>
      </w:tr>
      <w:tr>
        <w:trPr>
          <w:cantSplit/>
        </w:trPr>
        <w:tc>
          <w:tcPr>
            <w:tcW w:type="dxa" w:w="15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plat.PlatformOperator</w:t>
            </w:r>
          </w:p>
        </w:tc>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يُبذر. أول مشغّل يُنشأ بإجراء تمهيد لمرة واحدة يصدر دعوة، فلا كلمة مرور في أي سكربت </w:t>
            </w:r>
            <w:r>
              <w:rPr>
                <w:rFonts w:ascii="Arial" w:cs="Arial" w:eastAsia="Arial" w:hAnsi="Arial"/>
                <w:color w:val="E0A800"/>
                <w:sz w:val="18"/>
                <w:szCs w:val="18"/>
                <w:rtl/>
              </w:rPr>
              <w:t xml:space="preserve">●</w:t>
            </w:r>
          </w:p>
        </w:tc>
        <w:tc>
          <w:tcPr>
            <w:tcW w:type="dxa" w:w="3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 (10-m0-m1…:108)</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2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bl>
    <w:p>
      <w:pPr>
        <w:bidi/>
        <w:spacing w:after="120" w:before="0"/>
      </w:pPr>
    </w:p>
    <w:p>
      <w:pPr>
        <w:pStyle w:val="Heading2"/>
        <w:bidi/>
      </w:pPr>
      <w:bookmarkStart w:name="_sec6" w:id="6"/>
      <w:r>
        <w:rPr>
          <w:rFonts w:ascii="Arial" w:cs="Arial" w:eastAsia="Arial" w:hAnsi="Arial"/>
          <w:b/>
          <w:bCs/>
          <w:color w:val="2B5C8A"/>
          <w:sz w:val="26"/>
          <w:szCs w:val="26"/>
          <w:rtl/>
        </w:rPr>
        <w:t xml:space="preserve">4.2 ما لا يُبذر على مستوى المنصة</w:t>
      </w:r>
      <w:bookmarkEnd w:id="6"/>
    </w:p>
    <w:p>
      <w:pPr>
        <w:pStyle w:val="ListParagraph"/>
        <w:numPr>
          <w:ilvl w:val="0"/>
          <w:numId w:val="3"/>
        </w:numPr>
        <w:bidi/>
        <w:spacing w:after="70" w:before="0" w:line="300"/>
      </w:pPr>
      <w:r>
        <w:rPr>
          <w:rFonts w:ascii="Arial" w:cs="Arial" w:eastAsia="Arial" w:hAnsi="Arial"/>
          <w:b/>
          <w:bCs/>
          <w:sz w:val="21"/>
          <w:szCs w:val="21"/>
          <w:rtl/>
        </w:rPr>
        <w:t xml:space="preserve">دليل البنوك:</w:t>
      </w:r>
      <w:r>
        <w:rPr>
          <w:rFonts w:ascii="Arial" w:cs="Arial" w:eastAsia="Arial" w:hAnsi="Arial"/>
          <w:b w:val="false"/>
          <w:bCs w:val="false"/>
          <w:sz w:val="21"/>
          <w:szCs w:val="21"/>
          <w:rtl/>
        </w:rPr>
        <w:t xml:space="preserve"> الافتراض الموصى به لـ Q-INS-01، وهو غير محسوم: لا دليل مشترك في S1، وكل مشترك يدخل منشآته، ويبقى DirectoryRef محجوزًا (90-consolidated…:48؛ db/model/12-institutions-accounts-catalogs.model:288). نعتمده هنا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تُحمَّل البنوك بالقالب TPL-INSTITUTION (§7).</w:t>
      </w:r>
    </w:p>
    <w:p>
      <w:pPr>
        <w:pStyle w:val="ListParagraph"/>
        <w:numPr>
          <w:ilvl w:val="0"/>
          <w:numId w:val="3"/>
        </w:numPr>
        <w:bidi/>
        <w:spacing w:after="70" w:before="0" w:line="300"/>
      </w:pPr>
      <w:r>
        <w:rPr>
          <w:rFonts w:ascii="Arial" w:cs="Arial" w:eastAsia="Arial" w:hAnsi="Arial"/>
          <w:b/>
          <w:bCs/>
          <w:sz w:val="21"/>
          <w:szCs w:val="21"/>
          <w:rtl/>
        </w:rPr>
        <w:t xml:space="preserve">الأشكال القانونية والمناصب وأنواع الصلاحيات:</w:t>
      </w:r>
      <w:r>
        <w:rPr>
          <w:rFonts w:ascii="Arial" w:cs="Arial" w:eastAsia="Arial" w:hAnsi="Arial"/>
          <w:b w:val="false"/>
          <w:bCs w:val="false"/>
          <w:sz w:val="21"/>
          <w:szCs w:val="21"/>
          <w:rtl/>
        </w:rPr>
        <w:t xml:space="preserve"> جداول مملوكة للمشترك (db/model/12-institutions-accounts-catalogs.model:61، :95، :101). المنصة تحفظ محتواها حزمةً في المستودع، وكل مشترك يأخذ نسخة (§5).</w:t>
      </w:r>
    </w:p>
    <w:p>
      <w:pPr>
        <w:pStyle w:val="ListParagraph"/>
        <w:numPr>
          <w:ilvl w:val="0"/>
          <w:numId w:val="3"/>
        </w:numPr>
        <w:bidi/>
        <w:spacing w:after="70" w:before="0" w:line="300"/>
      </w:pPr>
      <w:r>
        <w:rPr>
          <w:rFonts w:ascii="Arial" w:cs="Arial" w:eastAsia="Arial" w:hAnsi="Arial"/>
          <w:b/>
          <w:bCs/>
          <w:sz w:val="21"/>
          <w:szCs w:val="21"/>
          <w:rtl/>
        </w:rPr>
        <w:t xml:space="preserve">الأدوار:</w:t>
      </w:r>
      <w:r>
        <w:rPr>
          <w:rFonts w:ascii="Arial" w:cs="Arial" w:eastAsia="Arial" w:hAnsi="Arial"/>
          <w:b w:val="false"/>
          <w:bCs w:val="false"/>
          <w:sz w:val="21"/>
          <w:szCs w:val="21"/>
          <w:rtl/>
        </w:rPr>
        <w:t xml:space="preserve"> sec.Role مملوك للمشترك. قوالب الأدوار حزمة مشترك (§5).</w:t>
      </w:r>
    </w:p>
    <w:p>
      <w:pPr>
        <w:bidi/>
        <w:spacing w:after="60" w:before="0"/>
      </w:pPr>
    </w:p>
    <w:p>
      <w:pPr>
        <w:pStyle w:val="Heading2"/>
        <w:bidi/>
      </w:pPr>
      <w:bookmarkStart w:name="_sec7" w:id="7"/>
      <w:r>
        <w:rPr>
          <w:rFonts w:ascii="Arial" w:cs="Arial" w:eastAsia="Arial" w:hAnsi="Arial"/>
          <w:b/>
          <w:bCs/>
          <w:color w:val="2B5C8A"/>
          <w:sz w:val="26"/>
          <w:szCs w:val="26"/>
          <w:rtl/>
        </w:rPr>
        <w:t xml:space="preserve">4.3 الموقع في ترتيب النشر </w:t>
      </w:r>
      <w:r>
        <w:rPr>
          <w:rFonts w:ascii="Arial" w:cs="Arial" w:eastAsia="Arial" w:hAnsi="Arial"/>
          <w:color w:val="E0A800"/>
          <w:sz w:val="26"/>
          <w:szCs w:val="26"/>
          <w:rtl/>
        </w:rPr>
        <w:t xml:space="preserve">●</w:t>
      </w:r>
      <w:bookmarkEnd w:id="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02"/>
        <w:gridCol w:w="3731"/>
        <w:gridCol w:w="1443"/>
        <w:gridCol w:w="3488"/>
      </w:tblGrid>
      <w:tr>
        <w:trPr>
          <w:cantSplit/>
          <w:tblHeader/>
        </w:trPr>
        <w:tc>
          <w:tcPr>
            <w:tcW w:type="dxa" w:w="12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37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الملف المقترح</w:t>
            </w:r>
          </w:p>
        </w:tc>
        <w:tc>
          <w:tcPr>
            <w:tcW w:type="dxa" w:w="14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يُشغَّل بصفة</w:t>
            </w:r>
          </w:p>
        </w:tc>
        <w:tc>
          <w:tcPr>
            <w:tcW w:type="dxa" w:w="34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r>
      <w:tr>
        <w:trPr>
          <w:cantSplit/>
        </w:trPr>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050</w:t>
            </w:r>
          </w:p>
        </w:tc>
        <w:tc>
          <w:tcPr>
            <w:tcW w:type="dxa" w:w="3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db/seed/100_platform_global.sql</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 النشر (مالك المخطط)</w:t>
            </w:r>
          </w:p>
        </w:tc>
        <w:tc>
          <w:tcPr>
            <w:tcW w:type="dxa" w:w="3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الجداول العالمية بلا RLS</w:t>
            </w:r>
          </w:p>
        </w:tc>
      </w:tr>
      <w:tr>
        <w:trPr>
          <w:cantSplit/>
        </w:trPr>
        <w:tc>
          <w:tcPr>
            <w:tcW w:type="dxa" w:w="1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بعده</w:t>
            </w:r>
          </w:p>
        </w:tc>
        <w:tc>
          <w:tcPr>
            <w:tcW w:type="dxa" w:w="37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db/seed/110_platform_mixed.sql</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بلا تسجيل دخول عضو في tp_platform، عبر EXECUTE AS</w:t>
            </w:r>
          </w:p>
        </w:tc>
        <w:tc>
          <w:tcPr>
            <w:tcW w:type="dxa" w:w="3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محمول الكتابة يقبل صف المنصة من tp_platform فقط (db/static/010_rls.sql:70-75)</w:t>
            </w:r>
          </w:p>
        </w:tc>
      </w:tr>
      <w:tr>
        <w:trPr>
          <w:cantSplit/>
        </w:trPr>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الاختبارات</w:t>
            </w:r>
          </w:p>
        </w:tc>
        <w:tc>
          <w:tcPr>
            <w:tcW w:type="dxa" w:w="3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خطوة في tools/ci/db_ci.sh تشغّل الملفين مرتين وتقارن العدد والبصمة</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3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إثبات التكرار الآمن</w:t>
            </w:r>
          </w:p>
        </w:tc>
      </w:tr>
    </w:tbl>
    <w:p>
      <w:pPr>
        <w:bidi/>
        <w:spacing w:after="120" w:before="0"/>
      </w:pPr>
    </w:p>
    <w:p>
      <w:pPr>
        <w:bidi/>
        <w:spacing w:after="110" w:before="0" w:line="312"/>
      </w:pPr>
      <w:r>
        <w:rPr>
          <w:rFonts w:ascii="Arial" w:cs="Arial" w:eastAsia="Arial" w:hAnsi="Arial"/>
          <w:b w:val="false"/>
          <w:bCs w:val="false"/>
          <w:sz w:val="21"/>
          <w:szCs w:val="21"/>
          <w:rtl/>
        </w:rPr>
        <w:t xml:space="preserve">السطران يُضافان إلى db/deploy.sql بعد السطر 34 بصيغة </w:t>
      </w:r>
      <w:r>
        <w:rPr>
          <w:rFonts w:ascii="Courier New" w:cs="Courier New" w:eastAsia="Courier New" w:hAnsi="Courier New"/>
          <w:b w:val="false"/>
          <w:bCs w:val="false"/>
          <w:color w:val="1F2937"/>
          <w:sz w:val="18"/>
          <w:szCs w:val="18"/>
          <w:shd w:fill="F1F3F5" w:color="auto" w:val="clear"/>
          <w:rtl/>
        </w:rPr>
        <w:t xml:space="preserve">‎:r seed/...‎</w:t>
      </w:r>
      <w:r>
        <w:rPr>
          <w:rFonts w:ascii="Arial" w:cs="Arial" w:eastAsia="Arial" w:hAnsi="Arial"/>
          <w:b w:val="false"/>
          <w:bCs w:val="false"/>
          <w:sz w:val="21"/>
          <w:szCs w:val="21"/>
          <w:rtl/>
        </w:rPr>
        <w:t xml:space="preserve">. ولأن DDL لا يُعاد تشغيله، يُشغَّل الملفان أيضًا وحدهما عند تحديث المراجع على قاعدة قائمة. الحساب الذي يشغّل الملف الثاني تحدده DOC-S08.</w:t>
      </w:r>
    </w:p>
    <w:p>
      <w:pPr>
        <w:pStyle w:val="Heading1"/>
        <w:bidi/>
      </w:pPr>
      <w:bookmarkStart w:name="_sec8" w:id="8"/>
      <w:r>
        <w:rPr>
          <w:rFonts w:ascii="Arial" w:cs="Arial" w:eastAsia="Arial" w:hAnsi="Arial"/>
          <w:b/>
          <w:bCs/>
          <w:color w:val="1F3A5F"/>
          <w:sz w:val="32"/>
          <w:szCs w:val="32"/>
          <w:rtl/>
        </w:rPr>
        <w:t xml:space="preserve">5. بذر المشترك عند التهيئة</w:t>
      </w:r>
      <w:bookmarkEnd w:id="8"/>
    </w:p>
    <w:p>
      <w:pPr>
        <w:pStyle w:val="Heading2"/>
        <w:bidi/>
      </w:pPr>
      <w:bookmarkStart w:name="_sec9" w:id="9"/>
      <w:r>
        <w:rPr>
          <w:rFonts w:ascii="Arial" w:cs="Arial" w:eastAsia="Arial" w:hAnsi="Arial"/>
          <w:b/>
          <w:bCs/>
          <w:color w:val="2B5C8A"/>
          <w:sz w:val="26"/>
          <w:szCs w:val="26"/>
          <w:rtl/>
        </w:rPr>
        <w:t xml:space="preserve">5.1 الحزم</w:t>
      </w:r>
      <w:bookmarkEnd w:id="9"/>
    </w:p>
    <w:p>
      <w:pPr>
        <w:bidi/>
        <w:spacing w:after="110" w:before="0" w:line="312"/>
      </w:pPr>
      <w:r>
        <w:rPr>
          <w:rFonts w:ascii="Arial" w:cs="Arial" w:eastAsia="Arial" w:hAnsi="Arial"/>
          <w:b w:val="false"/>
          <w:bCs w:val="false"/>
          <w:sz w:val="21"/>
          <w:szCs w:val="21"/>
          <w:rtl/>
        </w:rPr>
        <w:t xml:space="preserve">الحزمة وحدة إصدار. لكل حزمة PackKey ورقم SeedVersion، وتسجّل كل تشغيل في cfg.SeedRun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(FR-PLT-008، 10-m0-m1…:110). أسماء الحزم أدناه مقترحة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85"/>
        <w:gridCol w:w="2073"/>
        <w:gridCol w:w="1555"/>
        <w:gridCol w:w="4075"/>
        <w:gridCol w:w="976"/>
      </w:tblGrid>
      <w:tr>
        <w:trPr>
          <w:cantSplit/>
          <w:tblHeader/>
        </w:trPr>
        <w:tc>
          <w:tcPr>
            <w:tcW w:type="dxa" w:w="11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الحزمة</w:t>
            </w:r>
          </w:p>
        </w:tc>
        <w:tc>
          <w:tcPr>
            <w:tcW w:type="dxa" w:w="20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الجداول</w:t>
            </w:r>
          </w:p>
        </w:tc>
        <w:tc>
          <w:tcPr>
            <w:tcW w:type="dxa" w:w="15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 والعدد</w:t>
            </w:r>
          </w:p>
        </w:tc>
        <w:tc>
          <w:tcPr>
            <w:tcW w:type="dxa" w:w="40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r>
      <w:tr>
        <w:trPr>
          <w:cantSplit/>
        </w:trPr>
        <w:tc>
          <w:tcPr>
            <w:tcW w:type="dxa" w:w="11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CORE.ROLES</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sec.Role، sec.RolePermission</w:t>
            </w:r>
          </w:p>
        </w:tc>
        <w:tc>
          <w:tcPr>
            <w:tcW w:type="dxa" w:w="15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أدوار النظام TA وTM وFO وTE وFA وRQ وAU، بـ IsSystem=1 وSeedKey</w:t>
            </w:r>
          </w:p>
        </w:tc>
        <w:tc>
          <w:tcPr>
            <w:tcW w:type="dxa" w:w="40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12-m5…:46؛ 10-m0-m1…:39-70؛ db/model/10-platform.model:156-167</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1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CORE.NUMBERING</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cfg.NumberSequenceDefinition</w:t>
            </w:r>
          </w:p>
        </w:tc>
        <w:tc>
          <w:tcPr>
            <w:tcW w:type="dxa" w:w="15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 وPROFORMA وغيرهما، بـ GapPolicy، وغير مفعّلة حتى يفعّلها TA </w:t>
            </w:r>
            <w:r>
              <w:rPr>
                <w:rFonts w:ascii="Arial" w:cs="Arial" w:eastAsia="Arial" w:hAnsi="Arial"/>
                <w:color w:val="E0A800"/>
                <w:sz w:val="18"/>
                <w:szCs w:val="18"/>
                <w:rtl/>
              </w:rPr>
              <w:t xml:space="preserve">●</w:t>
            </w:r>
          </w:p>
        </w:tc>
        <w:tc>
          <w:tcPr>
            <w:tcW w:type="dxa" w:w="40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db/model/10-platform.model:443-453؛ BR-ORG-001</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1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CAT.DOCTYPES</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cat.DocumentType</w:t>
            </w:r>
          </w:p>
        </w:tc>
        <w:tc>
          <w:tcPr>
            <w:tcW w:type="dxa" w:w="15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 نوعًا بأعلامها</w:t>
            </w:r>
          </w:p>
        </w:tc>
        <w:tc>
          <w:tcPr>
            <w:tcW w:type="dxa" w:w="40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11-m2-m4…:330؛ FR-CAT-018 (:181)</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لأن مخزن المستندات FR-PLT-028 في S0</w:t>
            </w:r>
          </w:p>
        </w:tc>
      </w:tr>
      <w:tr>
        <w:trPr>
          <w:cantSplit/>
        </w:trPr>
        <w:tc>
          <w:tcPr>
            <w:tcW w:type="dxa" w:w="11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CORE.DEPARTMENTS</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org.Department</w:t>
            </w:r>
          </w:p>
        </w:tc>
        <w:tc>
          <w:tcPr>
            <w:tcW w:type="dxa" w:w="15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لكل Function: TREASURY وPROCUREMENT وSALES وFINANCE </w:t>
            </w:r>
            <w:r>
              <w:rPr>
                <w:rFonts w:ascii="Arial" w:cs="Arial" w:eastAsia="Arial" w:hAnsi="Arial"/>
                <w:color w:val="E0A800"/>
                <w:sz w:val="18"/>
                <w:szCs w:val="18"/>
                <w:rtl/>
              </w:rPr>
              <w:t xml:space="preserve">●</w:t>
            </w:r>
          </w:p>
        </w:tc>
        <w:tc>
          <w:tcPr>
            <w:tcW w:type="dxa" w:w="40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 FR-ORG-014 (10-m0-m1…:168)؛ 11-organization-party.model:56-68</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1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CORE.EXPIRY</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cfg.ExpiryAlertRule</w:t>
            </w:r>
          </w:p>
        </w:tc>
        <w:tc>
          <w:tcPr>
            <w:tcW w:type="dxa" w:w="15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الجدول §9.2</w:t>
            </w:r>
          </w:p>
        </w:tc>
        <w:tc>
          <w:tcPr>
            <w:tcW w:type="dxa" w:w="40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10-m0-m1…:517-526؛ db/model/10-platform.model:482-491</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1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CAT.ORG</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cat.LegalEntityType، cat.Position، cat.PowerType</w:t>
            </w:r>
          </w:p>
        </w:tc>
        <w:tc>
          <w:tcPr>
            <w:tcW w:type="dxa" w:w="15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أشكال (5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و2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12 منصبًا، 10 أنواع صلاحية</w:t>
            </w:r>
          </w:p>
        </w:tc>
        <w:tc>
          <w:tcPr>
            <w:tcW w:type="dxa" w:w="40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11-m2-m4…:326، :328-329، :351-380؛ Q-CAT-03؛ Q-ORG-10</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1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CAT.BANKING</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cat.InstitutionType، AccountType، OperationType، OperationTypePowerType، ProductCategory، Product، FeeType، FinancingType، FacilityType، LimitType، CollateralType، ObligationType، BaseRate</w:t>
            </w:r>
          </w:p>
        </w:tc>
        <w:tc>
          <w:tcPr>
            <w:tcW w:type="dxa" w:w="15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8، 11، 13 صفًا، 8، 22، 19، 6، 6، 9، 9، 30، 9</w:t>
            </w:r>
          </w:p>
        </w:tc>
        <w:tc>
          <w:tcPr>
            <w:tcW w:type="dxa" w:w="40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11-m2-m4…:319-340</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1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CAT.LOOKUPS</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cat.LookupList، cat.LookupItem</w:t>
            </w:r>
          </w:p>
        </w:tc>
        <w:tc>
          <w:tcPr>
            <w:tcW w:type="dxa" w:w="15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UNIT_TYPE وCONTACT_ROLE وACCOUNT_PURPOSE وSIGNATURE_CLASS وAUTHORISATION_BASIS، ثم قوائم الاعتماد في S3</w:t>
            </w:r>
          </w:p>
        </w:tc>
        <w:tc>
          <w:tcPr>
            <w:tcW w:type="dxa" w:w="40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11-m2-m4…:320-349؛ docs/20-database-design.md:476</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وقوائم LC في S3</w:t>
            </w:r>
          </w:p>
        </w:tc>
      </w:tr>
      <w:tr>
        <w:trPr>
          <w:cantSplit/>
        </w:trPr>
        <w:tc>
          <w:tcPr>
            <w:tcW w:type="dxa" w:w="11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CAT.CURRENCY</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cat.TenantCurrency</w:t>
            </w:r>
          </w:p>
        </w:tc>
        <w:tc>
          <w:tcPr>
            <w:tcW w:type="dxa" w:w="15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SAR وUSD وEUR وGBP وAED مفعّلة</w:t>
            </w:r>
          </w:p>
        </w:tc>
        <w:tc>
          <w:tcPr>
            <w:tcW w:type="dxa" w:w="40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11-m2-m4…:341؛ Q-CAT-08</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1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NTF.BASE</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ntf.NotificationEventType، ntf.NotificationRule، ntf.NotificationTemplate</w:t>
            </w:r>
          </w:p>
        </w:tc>
        <w:tc>
          <w:tcPr>
            <w:tcW w:type="dxa" w:w="15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الأحداث في 13 §9.2 ومنها رموز 10-m0-m1…:539</w:t>
            </w:r>
          </w:p>
        </w:tc>
        <w:tc>
          <w:tcPr>
            <w:tcW w:type="dxa" w:w="40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db/model/15-workflow-notifications.model:527-570</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1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PTY.KYC</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pty.KycProfile، pty.KycProfileItem</w:t>
            </w:r>
          </w:p>
        </w:tc>
        <w:tc>
          <w:tcPr>
            <w:tcW w:type="dxa" w:w="15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KYC المسبقة من 05 §3</w:t>
            </w:r>
          </w:p>
        </w:tc>
        <w:tc>
          <w:tcPr>
            <w:tcW w:type="dxa" w:w="40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db/model/11-organization-party.model:407-441</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1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CMP.TERMS</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cmp.TermType</w:t>
            </w:r>
          </w:p>
        </w:tc>
        <w:tc>
          <w:tcPr>
            <w:tcW w:type="dxa" w:w="15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الشروط القابلة للمقارنة</w:t>
            </w:r>
          </w:p>
        </w:tc>
        <w:tc>
          <w:tcPr>
            <w:tcW w:type="dxa" w:w="40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db/model/13-facilities-pricing-terms.model:542</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1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FIN.LINES</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fin.LineCatalogItem</w:t>
            </w:r>
          </w:p>
        </w:tc>
        <w:tc>
          <w:tcPr>
            <w:tcW w:type="dxa" w:w="15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39 بندًا</w:t>
            </w:r>
          </w:p>
        </w:tc>
        <w:tc>
          <w:tcPr>
            <w:tcW w:type="dxa" w:w="40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db/model/14-collateral-obligations-financials.model:383</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r>
      <w:tr>
        <w:trPr>
          <w:cantSplit/>
        </w:trPr>
        <w:tc>
          <w:tcPr>
            <w:tcW w:type="dxa" w:w="11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WFL.BASE</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wfl.ExternalPhase، wfl.RequestType، wfl.WorkflowTemplate</w:t>
            </w:r>
          </w:p>
        </w:tc>
        <w:tc>
          <w:tcPr>
            <w:tcW w:type="dxa" w:w="15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مراحل ظاهرة وأنواع الطلبات وقوالبها</w:t>
            </w:r>
          </w:p>
        </w:tc>
        <w:tc>
          <w:tcPr>
            <w:tcW w:type="dxa" w:w="40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db/model/15-workflow-notifications.model:20-96</w:t>
            </w:r>
          </w:p>
        </w:tc>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r>
        <w:trPr>
          <w:cantSplit/>
        </w:trPr>
        <w:tc>
          <w:tcPr>
            <w:tcW w:type="dxa" w:w="11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LC.BASE</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lc.LcFieldDefinition، lc.LcDocumentClause</w:t>
            </w:r>
          </w:p>
        </w:tc>
        <w:tc>
          <w:tcPr>
            <w:tcW w:type="dxa" w:w="15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تعريفات الحقول و13 بندًا</w:t>
            </w:r>
          </w:p>
        </w:tc>
        <w:tc>
          <w:tcPr>
            <w:tcW w:type="dxa" w:w="40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db/model/16-letters-of-credit.model:64-83، :123-143</w:t>
            </w:r>
          </w:p>
        </w:tc>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r>
    </w:tbl>
    <w:p>
      <w:pPr>
        <w:bidi/>
        <w:spacing w:after="120" w:before="0"/>
      </w:pPr>
    </w:p>
    <w:p>
      <w:pPr>
        <w:bidi/>
        <w:spacing w:after="110" w:before="0" w:line="312"/>
      </w:pPr>
      <w:r>
        <w:rPr>
          <w:rFonts w:ascii="Arial" w:cs="Arial" w:eastAsia="Arial" w:hAnsi="Arial"/>
          <w:b w:val="false"/>
          <w:bCs w:val="false"/>
          <w:sz w:val="21"/>
          <w:szCs w:val="21"/>
          <w:rtl/>
        </w:rPr>
        <w:t xml:space="preserve">عناصر التهيئة التي ليست حزمًا وتملكها DOC-F05: صف المشترك، وحساب الخدمة IsSystemUser (db/model/10-platform.model:123)، ومفاتيح sec.TenantKey (DOC-S02)، وصفوف plat.TenantModule من باقة المشترك (FR-PLT-003)، ودعوة مدير الحساب الأول.</w:t>
      </w:r>
    </w:p>
    <w:p>
      <w:pPr>
        <w:bidi/>
        <w:spacing w:after="110" w:before="0" w:line="312"/>
      </w:pPr>
      <w:r>
        <w:rPr>
          <w:rFonts w:ascii="Arial" w:cs="Arial" w:eastAsia="Arial" w:hAnsi="Arial"/>
          <w:b w:val="false"/>
          <w:bCs w:val="false"/>
          <w:sz w:val="21"/>
          <w:szCs w:val="21"/>
          <w:rtl/>
        </w:rPr>
        <w:t xml:space="preserve">خروج S0 يطلب «تأهيل مشترك جديد آليًا» (00-overview…:194). يكفي له بناء الآلية والحزم المعلَّمة S0. كل شريحة لاحقة تضيف حزمها، وتُطبَّق على المشتركين القائمين بتشغيل UPGRADE.</w:t>
      </w:r>
    </w:p>
    <w:p>
      <w:pPr>
        <w:pStyle w:val="Heading2"/>
        <w:bidi/>
      </w:pPr>
      <w:bookmarkStart w:name="_sec10" w:id="10"/>
      <w:r>
        <w:rPr>
          <w:rFonts w:ascii="Arial" w:cs="Arial" w:eastAsia="Arial" w:hAnsi="Arial"/>
          <w:b/>
          <w:bCs/>
          <w:color w:val="2B5C8A"/>
          <w:sz w:val="26"/>
          <w:szCs w:val="26"/>
          <w:rtl/>
        </w:rPr>
        <w:t xml:space="preserve">5.2 مصادر القوائم ومالكوها</w:t>
      </w:r>
      <w:bookmarkEnd w:id="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782"/>
        <w:gridCol w:w="4048"/>
        <w:gridCol w:w="1517"/>
        <w:gridCol w:w="1517"/>
      </w:tblGrid>
      <w:tr>
        <w:trPr>
          <w:cantSplit/>
          <w:tblHeader/>
        </w:trPr>
        <w:tc>
          <w:tcPr>
            <w:tcW w:type="dxa" w:w="27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القائمة</w:t>
            </w:r>
          </w:p>
        </w:tc>
        <w:tc>
          <w:tcPr>
            <w:tcW w:type="dxa" w:w="40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15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يقرّها (A)</w:t>
            </w:r>
          </w:p>
        </w:tc>
        <w:tc>
          <w:tcPr>
            <w:tcW w:type="dxa" w:w="15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يعدّها (R)</w:t>
            </w:r>
          </w:p>
        </w:tc>
      </w:tr>
      <w:tr>
        <w:trPr>
          <w:cantSplit/>
        </w:trPr>
        <w:tc>
          <w:tcPr>
            <w:tcW w:type="dxa" w:w="2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الدول والعملات</w:t>
            </w:r>
          </w:p>
        </w:tc>
        <w:tc>
          <w:tcPr>
            <w:tcW w:type="dxa" w:w="4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معياران ISO بإصدار مسجَّل في الحزمة</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r>
      <w:tr>
        <w:trPr>
          <w:cantSplit/>
        </w:trPr>
        <w:tc>
          <w:tcPr>
            <w:tcW w:type="dxa" w:w="2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العطلة الأسبوعية ورموز الاتصال للخليج</w:t>
            </w:r>
          </w:p>
        </w:tc>
        <w:tc>
          <w:tcPr>
            <w:tcW w:type="dxa" w:w="4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مقترح يُراجع (BR-CAT-018)</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r>
      <w:tr>
        <w:trPr>
          <w:cantSplit/>
        </w:trPr>
        <w:tc>
          <w:tcPr>
            <w:tcW w:type="dxa" w:w="2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الصلاحيات وقوالب الأدوار</w:t>
            </w:r>
          </w:p>
        </w:tc>
        <w:tc>
          <w:tcPr>
            <w:tcW w:type="dxa" w:w="4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مصفوفات §2 في 10 إلى 14</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2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الأشكال القانونية والمناصب وأنواع الصلاحيات</w:t>
            </w:r>
          </w:p>
        </w:tc>
        <w:tc>
          <w:tcPr>
            <w:tcW w:type="dxa" w:w="4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§3 مع مراجعة قانونية (Q-CAT-03، Q-ORG-10)</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2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المستندات ومدد الاحتفاظ</w:t>
            </w:r>
          </w:p>
        </w:tc>
        <w:tc>
          <w:tcPr>
            <w:tcW w:type="dxa" w:w="4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§6.4؛ Q-CAT-06؛ Q-PLT-04</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2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المنتجات والرسوم والحدود والضمانات والالتزامات وأسعار الأساس</w:t>
            </w:r>
          </w:p>
        </w:tc>
        <w:tc>
          <w:tcPr>
            <w:tcW w:type="dxa" w:w="4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§6.4 من الاتفاقيات والنماذج</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2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العمليات بأنواع الصلاحيات</w:t>
            </w:r>
          </w:p>
        </w:tc>
        <w:tc>
          <w:tcPr>
            <w:tcW w:type="dxa" w:w="4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§6.4 (Q-ACC-05)</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r>
        <w:trPr>
          <w:cantSplit/>
        </w:trPr>
        <w:tc>
          <w:tcPr>
            <w:tcW w:type="dxa" w:w="2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تعريفات الترقيم</w:t>
            </w:r>
          </w:p>
        </w:tc>
        <w:tc>
          <w:tcPr>
            <w:tcW w:type="dxa" w:w="4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Q-PLT-08؛ O-12 (erd_open_items)</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r>
      <w:tr>
        <w:trPr>
          <w:cantSplit/>
        </w:trPr>
        <w:tc>
          <w:tcPr>
            <w:tcW w:type="dxa" w:w="2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الإعدادات وحدودها</w:t>
            </w:r>
          </w:p>
        </w:tc>
        <w:tc>
          <w:tcPr>
            <w:tcW w:type="dxa" w:w="4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r>
      <w:tr>
        <w:trPr>
          <w:cantSplit/>
        </w:trPr>
        <w:tc>
          <w:tcPr>
            <w:tcW w:type="dxa" w:w="2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العناوين المحجوزة</w:t>
            </w:r>
          </w:p>
        </w:tc>
        <w:tc>
          <w:tcPr>
            <w:tcW w:type="dxa" w:w="4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r>
      <w:tr>
        <w:trPr>
          <w:cantSplit/>
        </w:trPr>
        <w:tc>
          <w:tcPr>
            <w:tcW w:type="dxa" w:w="2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الباقات ووحداتها</w:t>
            </w:r>
          </w:p>
        </w:tc>
        <w:tc>
          <w:tcPr>
            <w:tcW w:type="dxa" w:w="4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Q-PLT-11</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w:t>
            </w:r>
          </w:p>
        </w:tc>
      </w:tr>
      <w:tr>
        <w:trPr>
          <w:cantSplit/>
        </w:trPr>
        <w:tc>
          <w:tcPr>
            <w:tcW w:type="dxa" w:w="2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مواد UCP 600</w:t>
            </w:r>
          </w:p>
        </w:tc>
        <w:tc>
          <w:tcPr>
            <w:tcW w:type="dxa" w:w="4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ICC الرسمي (O-06، Q-LCT-01)</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r>
    </w:tbl>
    <w:p>
      <w:pPr>
        <w:bidi/>
        <w:spacing w:after="120" w:before="0"/>
      </w:pPr>
    </w:p>
    <w:p>
      <w:pPr>
        <w:bidi/>
        <w:spacing w:after="110" w:before="0" w:line="312"/>
      </w:pPr>
      <w:r>
        <w:rPr>
          <w:rFonts w:ascii="Arial" w:cs="Arial" w:eastAsia="Arial" w:hAnsi="Arial"/>
          <w:b w:val="false"/>
          <w:bCs w:val="false"/>
          <w:sz w:val="21"/>
          <w:szCs w:val="21"/>
          <w:rtl/>
        </w:rPr>
        <w:t xml:space="preserve">المُعِدّ لا يقرّ قائمته بنفسه (X-SEC-7، 00-overview…:142؛ القاعدة في DOC-B09).</w:t>
      </w:r>
    </w:p>
    <w:p>
      <w:pPr>
        <w:pStyle w:val="Heading1"/>
        <w:bidi/>
      </w:pPr>
      <w:bookmarkStart w:name="_sec11" w:id="11"/>
      <w:r>
        <w:rPr>
          <w:rFonts w:ascii="Arial" w:cs="Arial" w:eastAsia="Arial" w:hAnsi="Arial"/>
          <w:b/>
          <w:bCs/>
          <w:color w:val="1F3A5F"/>
          <w:sz w:val="32"/>
          <w:szCs w:val="32"/>
          <w:rtl/>
        </w:rPr>
        <w:t xml:space="preserve">6. قواعد التكرار الآمن والإصدار</w:t>
      </w:r>
      <w:bookmarkEnd w:id="11"/>
    </w:p>
    <w:p>
      <w:pPr>
        <w:pStyle w:val="ListParagraph"/>
        <w:numPr>
          <w:ilvl w:val="0"/>
          <w:numId w:val="4"/>
        </w:numPr>
        <w:bidi/>
        <w:spacing w:after="70" w:before="0" w:line="300"/>
      </w:pPr>
      <w:r>
        <w:rPr>
          <w:rFonts w:ascii="Arial" w:cs="Arial" w:eastAsia="Arial" w:hAnsi="Arial"/>
          <w:b/>
          <w:bCs/>
          <w:sz w:val="21"/>
          <w:szCs w:val="21"/>
          <w:rtl/>
        </w:rPr>
        <w:t xml:space="preserve">المصدر ملف لا كود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كل حزمة مجلد </w:t>
      </w:r>
      <w:r>
        <w:rPr>
          <w:rFonts w:ascii="Courier New" w:cs="Courier New" w:eastAsia="Courier New" w:hAnsi="Courier New"/>
          <w:b w:val="false"/>
          <w:bCs w:val="false"/>
          <w:color w:val="1F2937"/>
          <w:sz w:val="18"/>
          <w:szCs w:val="18"/>
          <w:shd w:fill="F1F3F5" w:color="auto" w:val="clear"/>
          <w:rtl/>
        </w:rPr>
        <w:t xml:space="preserve">‎db/seed/packs/&lt;PackKey&gt;/v&lt;N&gt;/‎</w:t>
      </w:r>
      <w:r>
        <w:rPr>
          <w:rFonts w:ascii="Arial" w:cs="Arial" w:eastAsia="Arial" w:hAnsi="Arial"/>
          <w:b w:val="false"/>
          <w:bCs w:val="false"/>
          <w:sz w:val="21"/>
          <w:szCs w:val="21"/>
          <w:rtl/>
        </w:rPr>
        <w:t xml:space="preserve">، فيه ملف CSV بترميز UTF-8 لكل جدول بأسماء الأعمدة كما في النموذج، وملف manifest.json (PackKey، SeedVersion، الشريحة، المعتمد، المراجع). بذر المنصة يُولَّد منه سكربت MERGE. حزم المشترك يقرؤها ITenantSeeder لكل وحدة (FR-PLT-008).</w:t>
      </w:r>
    </w:p>
    <w:p>
      <w:pPr>
        <w:pStyle w:val="ListParagraph"/>
        <w:numPr>
          <w:ilvl w:val="0"/>
          <w:numId w:val="4"/>
        </w:numPr>
        <w:bidi/>
        <w:spacing w:after="70" w:before="0" w:line="300"/>
      </w:pPr>
      <w:r>
        <w:rPr>
          <w:rFonts w:ascii="Arial" w:cs="Arial" w:eastAsia="Arial" w:hAnsi="Arial"/>
          <w:b/>
          <w:bCs/>
          <w:sz w:val="21"/>
          <w:szCs w:val="21"/>
          <w:rtl/>
        </w:rPr>
        <w:t xml:space="preserve">مفتاح المطابقة.</w:t>
      </w:r>
      <w:r>
        <w:rPr>
          <w:rFonts w:ascii="Arial" w:cs="Arial" w:eastAsia="Arial" w:hAnsi="Arial"/>
          <w:b w:val="false"/>
          <w:bCs w:val="false"/>
          <w:sz w:val="21"/>
          <w:szCs w:val="21"/>
          <w:rtl/>
        </w:rPr>
        <w:t xml:space="preserve"> SeedKey في الجداول التي تحمله. ومعه CountryId في cat.LegalEntityType (db/model/12-institutions-accounts-catalogs.model:77)، وLookupListId في cat.LookupItem (:270)، وRequestTypeId وSourceSeedVersion في wfl.WorkflowTemplate (db/model/15-workflow-notifications.model:88). في الجداول العالمية المفتاح الطبيعي: Iso2، Code، Key، Subdomain.</w:t>
      </w:r>
    </w:p>
    <w:p>
      <w:pPr>
        <w:pStyle w:val="ListParagraph"/>
        <w:numPr>
          <w:ilvl w:val="0"/>
          <w:numId w:val="4"/>
        </w:numPr>
        <w:bidi/>
        <w:spacing w:after="70" w:before="0" w:line="300"/>
      </w:pPr>
      <w:r>
        <w:rPr>
          <w:rFonts w:ascii="Arial" w:cs="Arial" w:eastAsia="Arial" w:hAnsi="Arial"/>
          <w:b/>
          <w:bCs/>
          <w:sz w:val="21"/>
          <w:szCs w:val="21"/>
          <w:rtl/>
        </w:rPr>
        <w:t xml:space="preserve">التشغيل الأول INITIAL:</w:t>
      </w:r>
      <w:r>
        <w:rPr>
          <w:rFonts w:ascii="Arial" w:cs="Arial" w:eastAsia="Arial" w:hAnsi="Arial"/>
          <w:b w:val="false"/>
          <w:bCs w:val="false"/>
          <w:sz w:val="21"/>
          <w:szCs w:val="21"/>
          <w:rtl/>
        </w:rPr>
        <w:t xml:space="preserve"> يدرج الصفوف الناقصة فقط. </w:t>
      </w:r>
      <w:r>
        <w:rPr>
          <w:rFonts w:ascii="Arial" w:cs="Arial" w:eastAsia="Arial" w:hAnsi="Arial"/>
          <w:b/>
          <w:bCs/>
          <w:sz w:val="21"/>
          <w:szCs w:val="21"/>
          <w:rtl/>
        </w:rPr>
        <w:t xml:space="preserve">الإعادة RERUN:</w:t>
      </w:r>
      <w:r>
        <w:rPr>
          <w:rFonts w:ascii="Arial" w:cs="Arial" w:eastAsia="Arial" w:hAnsi="Arial"/>
          <w:b w:val="false"/>
          <w:bCs w:val="false"/>
          <w:sz w:val="21"/>
          <w:szCs w:val="21"/>
          <w:rtl/>
        </w:rPr>
        <w:t xml:space="preserve"> لا يدرج شيئًا إن لم تتغير الحزمة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(BR-CAT-002، 11-m2-m4…:240).</w:t>
      </w:r>
    </w:p>
    <w:p>
      <w:pPr>
        <w:pStyle w:val="ListParagraph"/>
        <w:numPr>
          <w:ilvl w:val="0"/>
          <w:numId w:val="4"/>
        </w:numPr>
        <w:bidi/>
        <w:spacing w:after="70" w:before="0" w:line="300"/>
      </w:pPr>
      <w:r>
        <w:rPr>
          <w:rFonts w:ascii="Arial" w:cs="Arial" w:eastAsia="Arial" w:hAnsi="Arial"/>
          <w:b/>
          <w:bCs/>
          <w:sz w:val="21"/>
          <w:szCs w:val="21"/>
          <w:rtl/>
        </w:rPr>
        <w:t xml:space="preserve">الترقية UPGRADE:</w:t>
      </w:r>
      <w:r>
        <w:rPr>
          <w:rFonts w:ascii="Arial" w:cs="Arial" w:eastAsia="Arial" w:hAnsi="Arial"/>
          <w:b w:val="false"/>
          <w:bCs w:val="false"/>
          <w:sz w:val="21"/>
          <w:szCs w:val="21"/>
          <w:rtl/>
        </w:rPr>
        <w:t xml:space="preserve"> يدرج المفاتيح الجديدة، ويحدّث الصف الذي لم يعدّله المشترك، ويتخطى المعدَّل ويعدّه في SkippedModifiedCount ويكتب الفرق في DiffJson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(FR-PLT-008؛ db/model/10-platform.model:572-584).</w:t>
      </w:r>
    </w:p>
    <w:p>
      <w:pPr>
        <w:pStyle w:val="ListParagraph"/>
        <w:numPr>
          <w:ilvl w:val="0"/>
          <w:numId w:val="4"/>
        </w:numPr>
        <w:bidi/>
        <w:spacing w:after="70" w:before="0" w:line="300"/>
      </w:pPr>
      <w:r>
        <w:rPr>
          <w:rFonts w:ascii="Arial" w:cs="Arial" w:eastAsia="Arial" w:hAnsi="Arial"/>
          <w:b/>
          <w:bCs/>
          <w:sz w:val="21"/>
          <w:szCs w:val="21"/>
          <w:rtl/>
        </w:rPr>
        <w:t xml:space="preserve">كشف تعديل المشترك.</w:t>
      </w:r>
      <w:r>
        <w:rPr>
          <w:rFonts w:ascii="Arial" w:cs="Arial" w:eastAsia="Arial" w:hAnsi="Arial"/>
          <w:b w:val="false"/>
          <w:bCs w:val="false"/>
          <w:sz w:val="21"/>
          <w:szCs w:val="21"/>
          <w:rtl/>
        </w:rPr>
        <w:t xml:space="preserve"> لا يوجد عمود له إلا IsTenantModified في wfl.WorkflowTemplate (db/model/15-workflow-notifications.model:82). نقترح عمودي SeedVersion وSeedHash في أساس الكتالوج (DQ-B05-3).</w:t>
      </w:r>
    </w:p>
    <w:p>
      <w:pPr>
        <w:pStyle w:val="ListParagraph"/>
        <w:numPr>
          <w:ilvl w:val="0"/>
          <w:numId w:val="4"/>
        </w:numPr>
        <w:bidi/>
        <w:spacing w:after="70" w:before="0" w:line="300"/>
      </w:pPr>
      <w:r>
        <w:rPr>
          <w:rFonts w:ascii="Arial" w:cs="Arial" w:eastAsia="Arial" w:hAnsi="Arial"/>
          <w:b/>
          <w:bCs/>
          <w:sz w:val="21"/>
          <w:szCs w:val="21"/>
          <w:rtl/>
        </w:rPr>
        <w:t xml:space="preserve">الحذف ممنوع.</w:t>
      </w:r>
      <w:r>
        <w:rPr>
          <w:rFonts w:ascii="Arial" w:cs="Arial" w:eastAsia="Arial" w:hAnsi="Arial"/>
          <w:b w:val="false"/>
          <w:bCs w:val="false"/>
          <w:sz w:val="21"/>
          <w:szCs w:val="21"/>
          <w:rtl/>
        </w:rPr>
        <w:t xml:space="preserve"> صف أُزيل من الحزمة يصير IsActive=0 إن لم يُستعمل ولم يُعدَّل، ويبقى كما هو في غير ذلك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الصف المقفل IsLocked لا يُعطَّل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(BR-CAT-003).</w:t>
      </w:r>
    </w:p>
    <w:p>
      <w:pPr>
        <w:pStyle w:val="ListParagraph"/>
        <w:numPr>
          <w:ilvl w:val="0"/>
          <w:numId w:val="4"/>
        </w:numPr>
        <w:bidi/>
        <w:spacing w:after="70" w:before="0" w:line="300"/>
      </w:pPr>
      <w:r>
        <w:rPr>
          <w:rFonts w:ascii="Arial" w:cs="Arial" w:eastAsia="Arial" w:hAnsi="Arial"/>
          <w:b/>
          <w:bCs/>
          <w:sz w:val="21"/>
          <w:szCs w:val="21"/>
          <w:rtl/>
        </w:rPr>
        <w:t xml:space="preserve">معاملة لكل حزمة.</w:t>
      </w:r>
      <w:r>
        <w:rPr>
          <w:rFonts w:ascii="Arial" w:cs="Arial" w:eastAsia="Arial" w:hAnsi="Arial"/>
          <w:b w:val="false"/>
          <w:bCs w:val="false"/>
          <w:sz w:val="21"/>
          <w:szCs w:val="21"/>
          <w:rtl/>
        </w:rPr>
        <w:t xml:space="preserve"> فشل حزمة يلغي صفوفها ويكتب SeedRun بحالة FAILED خارج المعاملة. التراجع الكامل للتهيئة في DOC-F05.</w:t>
      </w:r>
    </w:p>
    <w:p>
      <w:pPr>
        <w:pStyle w:val="ListParagraph"/>
        <w:numPr>
          <w:ilvl w:val="0"/>
          <w:numId w:val="4"/>
        </w:numPr>
        <w:bidi/>
        <w:spacing w:after="70" w:before="0" w:line="300"/>
      </w:pPr>
      <w:r>
        <w:rPr>
          <w:rFonts w:ascii="Arial" w:cs="Arial" w:eastAsia="Arial" w:hAnsi="Arial"/>
          <w:b/>
          <w:bCs/>
          <w:sz w:val="21"/>
          <w:szCs w:val="21"/>
          <w:rtl/>
        </w:rPr>
        <w:t xml:space="preserve">سجل المنصة.</w:t>
      </w:r>
      <w:r>
        <w:rPr>
          <w:rFonts w:ascii="Arial" w:cs="Arial" w:eastAsia="Arial" w:hAnsi="Arial"/>
          <w:b w:val="false"/>
          <w:bCs w:val="false"/>
          <w:sz w:val="21"/>
          <w:szCs w:val="21"/>
          <w:rtl/>
        </w:rPr>
        <w:t xml:space="preserve"> cfg.SeedRun مملوك للمشترك، فلا يسجّل بذر المنصة. يلزم سجل عالمي (DQ-B05-1).</w:t>
      </w:r>
    </w:p>
    <w:p>
      <w:pPr>
        <w:bidi/>
        <w:spacing w:after="60" w:before="0"/>
      </w:pPr>
    </w:p>
    <w:p>
      <w:pPr>
        <w:pStyle w:val="Heading1"/>
        <w:bidi/>
      </w:pPr>
      <w:bookmarkStart w:name="_sec12" w:id="12"/>
      <w:r>
        <w:rPr>
          <w:rFonts w:ascii="Arial" w:cs="Arial" w:eastAsia="Arial" w:hAnsi="Arial"/>
          <w:b/>
          <w:bCs/>
          <w:color w:val="1F3A5F"/>
          <w:sz w:val="32"/>
          <w:szCs w:val="32"/>
          <w:rtl/>
        </w:rPr>
        <w:t xml:space="preserve">7. الترحيل الأولي من Excel</w:t>
      </w:r>
      <w:bookmarkEnd w:id="12"/>
    </w:p>
    <w:p>
      <w:pPr>
        <w:pStyle w:val="Heading2"/>
        <w:bidi/>
      </w:pPr>
      <w:bookmarkStart w:name="_sec13" w:id="13"/>
      <w:r>
        <w:rPr>
          <w:rFonts w:ascii="Arial" w:cs="Arial" w:eastAsia="Arial" w:hAnsi="Arial"/>
          <w:b/>
          <w:bCs/>
          <w:color w:val="2B5C8A"/>
          <w:sz w:val="26"/>
          <w:szCs w:val="26"/>
          <w:rtl/>
        </w:rPr>
        <w:t xml:space="preserve">7.1 القوالب</w:t>
      </w:r>
      <w:bookmarkEnd w:id="13"/>
    </w:p>
    <w:p>
      <w:pPr>
        <w:bidi/>
        <w:spacing w:after="110" w:before="0" w:line="312"/>
      </w:pPr>
      <w:r>
        <w:rPr>
          <w:rFonts w:ascii="Arial" w:cs="Arial" w:eastAsia="Arial" w:hAnsi="Arial"/>
          <w:b w:val="false"/>
          <w:bCs w:val="false"/>
          <w:sz w:val="21"/>
          <w:szCs w:val="21"/>
          <w:rtl/>
        </w:rPr>
        <w:t xml:space="preserve">أربعة قوالب، كل منها ورقة واحدة بصف عناوين ثابت وورقة تعليمات. يشير كل قالب إلى الكيانات الأخرى بالرمز لا بالمعرّف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القوالب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كلها؛ الحقول من النموذج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w:t>
      </w:r>
    </w:p>
    <w:p>
      <w:pPr>
        <w:bidi/>
        <w:spacing w:after="110" w:before="0" w:line="312"/>
      </w:pPr>
      <w:r>
        <w:rPr>
          <w:rFonts w:ascii="Arial" w:cs="Arial" w:eastAsia="Arial" w:hAnsi="Arial"/>
          <w:b/>
          <w:bCs/>
          <w:sz w:val="21"/>
          <w:szCs w:val="21"/>
          <w:rtl/>
        </w:rPr>
        <w:t xml:space="preserve">TPL-COMPANY → org.Company</w:t>
      </w:r>
      <w:r>
        <w:rPr>
          <w:rFonts w:ascii="Arial" w:cs="Arial" w:eastAsia="Arial" w:hAnsi="Arial"/>
          <w:b w:val="false"/>
          <w:bCs w:val="false"/>
          <w:sz w:val="21"/>
          <w:szCs w:val="21"/>
          <w:rtl/>
        </w:rPr>
        <w:t xml:space="preserve"> (db/model/11-organization-party.model:12-43)</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066"/>
        <w:gridCol w:w="1599"/>
        <w:gridCol w:w="3199"/>
      </w:tblGrid>
      <w:tr>
        <w:trPr>
          <w:cantSplit/>
          <w:tblHeader/>
        </w:trPr>
        <w:tc>
          <w:tcPr>
            <w:tcW w:type="dxa" w:w="50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العمود</w:t>
            </w:r>
          </w:p>
        </w:tc>
        <w:tc>
          <w:tcPr>
            <w:tcW w:type="dxa" w:w="15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إلزامي</w:t>
            </w:r>
          </w:p>
        </w:tc>
        <w:tc>
          <w:tcPr>
            <w:tcW w:type="dxa" w:w="31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التحقق</w:t>
            </w:r>
          </w:p>
        </w:tc>
      </w:tr>
      <w:tr>
        <w:trPr>
          <w:cantSplit/>
        </w:trPr>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CompanyCode</w:t>
            </w:r>
          </w:p>
        </w:tc>
        <w:tc>
          <w:tcPr>
            <w:tcW w:type="dxa" w:w="15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في المشترك وفي الملف (BR-ORG-001)</w:t>
            </w:r>
          </w:p>
        </w:tc>
      </w:tr>
      <w:tr>
        <w:trPr>
          <w:cantSplit/>
        </w:trPr>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NameAr، NameEn</w:t>
            </w:r>
          </w:p>
        </w:tc>
        <w:tc>
          <w:tcPr>
            <w:tcW w:type="dxa" w:w="15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 حرف</w:t>
            </w:r>
          </w:p>
        </w:tc>
      </w:tr>
      <w:tr>
        <w:trPr>
          <w:cantSplit/>
        </w:trPr>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LegalEntityTypeCode</w:t>
            </w:r>
          </w:p>
        </w:tc>
        <w:tc>
          <w:tcPr>
            <w:tcW w:type="dxa" w:w="15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موجود ونشط في كتالوج المشترك ومتوافق مع الدولة (BR-ORG-016)</w:t>
            </w:r>
          </w:p>
        </w:tc>
      </w:tr>
      <w:tr>
        <w:trPr>
          <w:cantSplit/>
        </w:trPr>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CountryIso2</w:t>
            </w:r>
          </w:p>
        </w:tc>
        <w:tc>
          <w:tcPr>
            <w:tcW w:type="dxa" w:w="15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موجود في ref.Country</w:t>
            </w:r>
          </w:p>
        </w:tc>
      </w:tr>
      <w:tr>
        <w:trPr>
          <w:cantSplit/>
        </w:trPr>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ParentCompanyCode</w:t>
            </w:r>
          </w:p>
        </w:tc>
        <w:tc>
          <w:tcPr>
            <w:tcW w:type="dxa" w:w="15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القاعدة أو في الملف؛ بلا حلقة؛ العمق 10 على الأكثر (BR-ORG-002)</w:t>
            </w:r>
          </w:p>
        </w:tc>
      </w:tr>
      <w:tr>
        <w:trPr>
          <w:cantSplit/>
        </w:trPr>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IsHolding</w:t>
            </w:r>
          </w:p>
        </w:tc>
        <w:tc>
          <w:tcPr>
            <w:tcW w:type="dxa" w:w="15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TRUE أو FALSE (BR-ORG-003)</w:t>
            </w:r>
          </w:p>
        </w:tc>
      </w:tr>
      <w:tr>
        <w:trPr>
          <w:cantSplit/>
        </w:trPr>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CrNumber، CrDate، CrDateHijriText</w:t>
            </w:r>
          </w:p>
        </w:tc>
        <w:tc>
          <w:tcPr>
            <w:tcW w:type="dxa" w:w="15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ضمن الدولة لغير المؤرشفة؛ تاريخ هجري صالح</w:t>
            </w:r>
          </w:p>
        </w:tc>
      </w:tr>
      <w:tr>
        <w:trPr>
          <w:cantSplit/>
        </w:trPr>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TaxNumber، ErpCompanyCode</w:t>
            </w:r>
          </w:p>
        </w:tc>
        <w:tc>
          <w:tcPr>
            <w:tcW w:type="dxa" w:w="15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تكرار ERP تحذير أو منع (BR-ORG-001)</w:t>
            </w:r>
          </w:p>
        </w:tc>
      </w:tr>
      <w:tr>
        <w:trPr>
          <w:cantSplit/>
        </w:trPr>
        <w:tc>
          <w:tcPr>
            <w:tcW w:type="dxa" w:w="5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FiscalYearEndMonth، FiscalYearEndDay</w:t>
            </w:r>
          </w:p>
        </w:tc>
        <w:tc>
          <w:tcPr>
            <w:tcW w:type="dxa" w:w="15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الشهر نعم</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إلى 12، و1 إلى 31 (BR-ORG-004)</w:t>
            </w:r>
          </w:p>
        </w:tc>
      </w:tr>
      <w:tr>
        <w:trPr>
          <w:cantSplit/>
        </w:trPr>
        <w:tc>
          <w:tcPr>
            <w:tcW w:type="dxa" w:w="5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BaseCurrencyCode</w:t>
            </w:r>
          </w:p>
        </w:tc>
        <w:tc>
          <w:tcPr>
            <w:tcW w:type="dxa" w:w="15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عملة مفعّلة للمشترك</w:t>
            </w:r>
          </w:p>
        </w:tc>
      </w:tr>
    </w:tbl>
    <w:p>
      <w:pPr>
        <w:bidi/>
        <w:spacing w:after="120" w:before="0"/>
      </w:pPr>
    </w:p>
    <w:p>
      <w:pPr>
        <w:bidi/>
        <w:spacing w:after="110" w:before="0" w:line="312"/>
      </w:pPr>
      <w:r>
        <w:rPr>
          <w:rFonts w:ascii="Arial" w:cs="Arial" w:eastAsia="Arial" w:hAnsi="Arial"/>
          <w:b w:val="false"/>
          <w:bCs w:val="false"/>
          <w:sz w:val="21"/>
          <w:szCs w:val="21"/>
          <w:rtl/>
        </w:rPr>
        <w:t xml:space="preserve">يُنشئ التحميل Party المرآة لكل شركة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(FR-PTY-003، 10-m0-m1…:193)، وOwnershipStatus=UNDOCUMENTED.</w:t>
      </w:r>
    </w:p>
    <w:p>
      <w:pPr>
        <w:bidi/>
        <w:spacing w:after="110" w:before="0" w:line="312"/>
      </w:pPr>
      <w:r>
        <w:rPr>
          <w:rFonts w:ascii="Arial" w:cs="Arial" w:eastAsia="Arial" w:hAnsi="Arial"/>
          <w:b/>
          <w:bCs/>
          <w:sz w:val="21"/>
          <w:szCs w:val="21"/>
          <w:rtl/>
        </w:rPr>
        <w:t xml:space="preserve">TPL-INSTITUTION → ins.Institution</w:t>
      </w:r>
      <w:r>
        <w:rPr>
          <w:rFonts w:ascii="Arial" w:cs="Arial" w:eastAsia="Arial" w:hAnsi="Arial"/>
          <w:b w:val="false"/>
          <w:bCs w:val="false"/>
          <w:sz w:val="21"/>
          <w:szCs w:val="21"/>
          <w:rtl/>
        </w:rPr>
        <w:t xml:space="preserve"> (db/model/12-institutions-accounts-catalogs.model:278-297)</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933"/>
        <w:gridCol w:w="1557"/>
        <w:gridCol w:w="3374"/>
      </w:tblGrid>
      <w:tr>
        <w:trPr>
          <w:cantSplit/>
          <w:tblHeader/>
        </w:trPr>
        <w:tc>
          <w:tcPr>
            <w:tcW w:type="dxa" w:w="49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العمود</w:t>
            </w:r>
          </w:p>
        </w:tc>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إلزامي</w:t>
            </w:r>
          </w:p>
        </w:tc>
        <w:tc>
          <w:tcPr>
            <w:tcW w:type="dxa" w:w="33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التحقق</w:t>
            </w:r>
          </w:p>
        </w:tc>
      </w:tr>
      <w:tr>
        <w:trPr>
          <w:cantSplit/>
        </w:trPr>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InstitutionCode</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أحرف كبيرة بلا مسافات، فريد (V-INS-01)</w:t>
            </w:r>
          </w:p>
        </w:tc>
      </w:tr>
      <w:tr>
        <w:trPr>
          <w:cantSplit/>
        </w:trPr>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NameAr</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NameEn اختياري</w:t>
            </w:r>
          </w:p>
        </w:tc>
      </w:tr>
      <w:tr>
        <w:trPr>
          <w:cantSplit/>
        </w:trPr>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InstitutionTypeCode</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الكتالوج؛ INDIVIDUAL يُرفض في القالب لأنه يتطلب Party (BR-INS-003) </w:t>
            </w:r>
            <w:r>
              <w:rPr>
                <w:rFonts w:ascii="Arial" w:cs="Arial" w:eastAsia="Arial" w:hAnsi="Arial"/>
                <w:color w:val="E0A800"/>
                <w:sz w:val="18"/>
                <w:szCs w:val="18"/>
                <w:rtl/>
              </w:rPr>
              <w:t xml:space="preserve">●</w:t>
            </w:r>
          </w:p>
        </w:tc>
      </w:tr>
      <w:tr>
        <w:trPr>
          <w:cantSplit/>
        </w:trPr>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CountryIso2</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موجود في ref.Country</w:t>
            </w:r>
          </w:p>
        </w:tc>
      </w:tr>
      <w:tr>
        <w:trPr>
          <w:cantSplit/>
        </w:trPr>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SwiftBic</w:t>
            </w:r>
          </w:p>
        </w:tc>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أو 11 خانة (BR-INS-001)؛ التكرار تحذير (V-INS-02)</w:t>
            </w:r>
          </w:p>
        </w:tc>
      </w:tr>
      <w:tr>
        <w:trPr>
          <w:cantSplit/>
        </w:trPr>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Website، Notes</w:t>
            </w:r>
          </w:p>
        </w:tc>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bl>
    <w:p>
      <w:pPr>
        <w:bidi/>
        <w:spacing w:after="120" w:before="0"/>
      </w:pPr>
    </w:p>
    <w:p>
      <w:pPr>
        <w:bidi/>
        <w:spacing w:after="110" w:before="0" w:line="312"/>
      </w:pPr>
      <w:r>
        <w:rPr>
          <w:rFonts w:ascii="Arial" w:cs="Arial" w:eastAsia="Arial" w:hAnsi="Arial"/>
          <w:b/>
          <w:bCs/>
          <w:sz w:val="21"/>
          <w:szCs w:val="21"/>
          <w:rtl/>
        </w:rPr>
        <w:t xml:space="preserve">TPL-RELATIONSHIP → ins.Relationship</w:t>
      </w:r>
      <w:r>
        <w:rPr>
          <w:rFonts w:ascii="Arial" w:cs="Arial" w:eastAsia="Arial" w:hAnsi="Arial"/>
          <w:b w:val="false"/>
          <w:bCs w:val="false"/>
          <w:sz w:val="21"/>
          <w:szCs w:val="21"/>
          <w:rtl/>
        </w:rPr>
        <w:t xml:space="preserve"> (:328-342)</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783"/>
        <w:gridCol w:w="1793"/>
        <w:gridCol w:w="3288"/>
      </w:tblGrid>
      <w:tr>
        <w:trPr>
          <w:cantSplit/>
          <w:tblHeader/>
        </w:trPr>
        <w:tc>
          <w:tcPr>
            <w:tcW w:type="dxa" w:w="47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العمود</w:t>
            </w:r>
          </w:p>
        </w:tc>
        <w:tc>
          <w:tcPr>
            <w:tcW w:type="dxa" w:w="17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إلزامي</w:t>
            </w:r>
          </w:p>
        </w:tc>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التحقق</w:t>
            </w:r>
          </w:p>
        </w:tc>
      </w:tr>
      <w:tr>
        <w:trPr>
          <w:cantSplit/>
        </w:trPr>
        <w:tc>
          <w:tcPr>
            <w:tcW w:type="dxa" w:w="47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CompanyCode، InstitutionCode</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الزوج فريد بأي حالة (V-INS-05 E، BR-INS-007)</w:t>
            </w:r>
          </w:p>
        </w:tc>
      </w:tr>
      <w:tr>
        <w:trPr>
          <w:cantSplit/>
        </w:trPr>
        <w:tc>
          <w:tcPr>
            <w:tcW w:type="dxa" w:w="47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Status</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PROSPECT أو ACTIVE فقط في القالب </w:t>
            </w:r>
            <w:r>
              <w:rPr>
                <w:rFonts w:ascii="Arial" w:cs="Arial" w:eastAsia="Arial" w:hAnsi="Arial"/>
                <w:color w:val="E0A800"/>
                <w:sz w:val="18"/>
                <w:szCs w:val="18"/>
                <w:rtl/>
              </w:rPr>
              <w:t xml:space="preserve">●</w:t>
            </w:r>
          </w:p>
        </w:tc>
      </w:tr>
      <w:tr>
        <w:trPr>
          <w:cantSplit/>
        </w:trPr>
        <w:tc>
          <w:tcPr>
            <w:tcW w:type="dxa" w:w="47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CustomerNoAtBank</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تكراره في المنشأة تحذير (V-INS-05 W)</w:t>
            </w:r>
          </w:p>
        </w:tc>
      </w:tr>
      <w:tr>
        <w:trPr>
          <w:cantSplit/>
        </w:trPr>
        <w:tc>
          <w:tcPr>
            <w:tcW w:type="dxa" w:w="47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StartedOn</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w:t>
            </w:r>
          </w:p>
        </w:tc>
      </w:tr>
    </w:tbl>
    <w:p>
      <w:pPr>
        <w:bidi/>
        <w:spacing w:after="120" w:before="0"/>
      </w:pPr>
    </w:p>
    <w:p>
      <w:pPr>
        <w:bidi/>
        <w:spacing w:after="110" w:before="0" w:line="312"/>
      </w:pPr>
      <w:r>
        <w:rPr>
          <w:rFonts w:ascii="Arial" w:cs="Arial" w:eastAsia="Arial" w:hAnsi="Arial"/>
          <w:b/>
          <w:bCs/>
          <w:sz w:val="21"/>
          <w:szCs w:val="21"/>
          <w:rtl/>
        </w:rPr>
        <w:t xml:space="preserve">TPL-ACCOUNT → acc.BankAccount</w:t>
      </w:r>
      <w:r>
        <w:rPr>
          <w:rFonts w:ascii="Arial" w:cs="Arial" w:eastAsia="Arial" w:hAnsi="Arial"/>
          <w:b w:val="false"/>
          <w:bCs w:val="false"/>
          <w:sz w:val="21"/>
          <w:szCs w:val="21"/>
          <w:rtl/>
        </w:rPr>
        <w:t xml:space="preserve"> (:378-417)</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353"/>
        <w:gridCol w:w="1740"/>
        <w:gridCol w:w="3771"/>
      </w:tblGrid>
      <w:tr>
        <w:trPr>
          <w:cantSplit/>
          <w:tblHeader/>
        </w:trPr>
        <w:tc>
          <w:tcPr>
            <w:tcW w:type="dxa" w:w="43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العمود</w:t>
            </w:r>
          </w:p>
        </w:tc>
        <w:tc>
          <w:tcPr>
            <w:tcW w:type="dxa" w:w="17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إلزامي</w:t>
            </w:r>
          </w:p>
        </w:tc>
        <w:tc>
          <w:tcPr>
            <w:tcW w:type="dxa" w:w="37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التحقق</w:t>
            </w:r>
          </w:p>
        </w:tc>
      </w:tr>
      <w:tr>
        <w:trPr>
          <w:cantSplit/>
        </w:trPr>
        <w:tc>
          <w:tcPr>
            <w:tcW w:type="dxa" w:w="43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CompanyCode، InstitutionCode</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7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توجد علاقة بينهما</w:t>
            </w:r>
          </w:p>
        </w:tc>
      </w:tr>
      <w:tr>
        <w:trPr>
          <w:cantSplit/>
        </w:trPr>
        <w:tc>
          <w:tcPr>
            <w:tcW w:type="dxa" w:w="43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AccountTypeCode</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7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الكتالوج؛ VIRTUAL مستبعد من القالب الأول </w:t>
            </w:r>
            <w:r>
              <w:rPr>
                <w:rFonts w:ascii="Arial" w:cs="Arial" w:eastAsia="Arial" w:hAnsi="Arial"/>
                <w:color w:val="E0A800"/>
                <w:sz w:val="18"/>
                <w:szCs w:val="18"/>
                <w:rtl/>
              </w:rPr>
              <w:t xml:space="preserve">●</w:t>
            </w:r>
          </w:p>
        </w:tc>
      </w:tr>
      <w:tr>
        <w:trPr>
          <w:cantSplit/>
        </w:trPr>
        <w:tc>
          <w:tcPr>
            <w:tcW w:type="dxa" w:w="43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CurrencyCode</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7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عملة مفعّلة</w:t>
            </w:r>
          </w:p>
        </w:tc>
      </w:tr>
      <w:tr>
        <w:trPr>
          <w:cantSplit/>
        </w:trPr>
        <w:tc>
          <w:tcPr>
            <w:tcW w:type="dxa" w:w="43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AccountNo</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7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 يُشفَّر ويُفهرس ولا يتكرر في المنشأة (V-ACC-01)</w:t>
            </w:r>
          </w:p>
        </w:tc>
      </w:tr>
      <w:tr>
        <w:trPr>
          <w:cantSplit/>
        </w:trPr>
        <w:tc>
          <w:tcPr>
            <w:tcW w:type="dxa" w:w="43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7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 الطول وmod 97 (BR-ACC-002)؛ فريد في المشترك</w:t>
            </w:r>
          </w:p>
        </w:tc>
      </w:tr>
      <w:tr>
        <w:trPr>
          <w:cantSplit/>
        </w:trPr>
        <w:tc>
          <w:tcPr>
            <w:tcW w:type="dxa" w:w="43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Nickname، SigningRuleText</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7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43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MinSignatures</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7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افتراضيًا، ولا يقل عن 1 (V-ACC-03)</w:t>
            </w:r>
          </w:p>
        </w:tc>
      </w:tr>
      <w:tr>
        <w:trPr>
          <w:cantSplit/>
        </w:trPr>
        <w:tc>
          <w:tcPr>
            <w:tcW w:type="dxa" w:w="43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OpenedOn</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37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 المغلق لا يُحمَّل </w:t>
            </w:r>
            <w:r>
              <w:rPr>
                <w:rFonts w:ascii="Arial" w:cs="Arial" w:eastAsia="Arial" w:hAnsi="Arial"/>
                <w:color w:val="E0A800"/>
                <w:sz w:val="18"/>
                <w:szCs w:val="18"/>
                <w:rtl/>
              </w:rPr>
              <w:t xml:space="preserve">●</w:t>
            </w:r>
          </w:p>
        </w:tc>
      </w:tr>
    </w:tbl>
    <w:p>
      <w:pPr>
        <w:bidi/>
        <w:spacing w:after="120" w:before="0"/>
      </w:pPr>
    </w:p>
    <w:p>
      <w:pPr>
        <w:pStyle w:val="Heading2"/>
        <w:bidi/>
      </w:pPr>
      <w:bookmarkStart w:name="_sec14" w:id="14"/>
      <w:r>
        <w:rPr>
          <w:rFonts w:ascii="Arial" w:cs="Arial" w:eastAsia="Arial" w:hAnsi="Arial"/>
          <w:b/>
          <w:bCs/>
          <w:color w:val="2B5C8A"/>
          <w:sz w:val="26"/>
          <w:szCs w:val="26"/>
          <w:rtl/>
        </w:rPr>
        <w:t xml:space="preserve">7.2 ترتيب التحميل</w:t>
      </w:r>
      <w:bookmarkEnd w:id="14"/>
    </w:p>
    <w:p>
      <w:pPr>
        <w:keepNext/>
        <w:bidi/>
        <w:spacing w:after="60" w:before="160"/>
        <w:jc w:val="center"/>
      </w:pPr>
      <w:r>
        <w:drawing>
          <wp:inline distT="0" distB="0" distL="0" distR="0">
            <wp:extent cx="6096000" cy="1447800"/>
            <wp:effectExtent t="0" r="0" b="0" l="0"/>
            <wp:docPr id="1" name="diagram-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447800"/>
                    </a:xfrm>
                    <a:prstGeom prst="rect">
                      <a:avLst/>
                    </a:prstGeom>
                  </pic:spPr>
                </pic:pic>
              </a:graphicData>
            </a:graphic>
          </wp:inline>
        </w:drawing>
      </w:r>
    </w:p>
    <w:p>
      <w:pPr>
        <w:pStyle w:val="ListParagraph"/>
        <w:numPr>
          <w:ilvl w:val="0"/>
          <w:numId w:val="3"/>
        </w:numPr>
        <w:bidi/>
        <w:spacing w:after="70" w:before="0" w:line="300"/>
      </w:pPr>
      <w:r>
        <w:rPr>
          <w:rFonts w:ascii="Arial" w:cs="Arial" w:eastAsia="Arial" w:hAnsi="Arial"/>
          <w:b w:val="false"/>
          <w:bCs w:val="false"/>
          <w:sz w:val="21"/>
          <w:szCs w:val="21"/>
          <w:rtl/>
        </w:rPr>
        <w:t xml:space="preserve">داخل ملف الشركات يرتّب المحمّل الصفوف ترتيبًا طوبولوجيًا بالأم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قالب الحسابات لا يعمل قبل وجود مفتاحي DATA وBLIND_INDEX فعّالين، لأن الرقم وIBAN يُخزَّنان مشفّرين مع فهرس أعمى (db/model/12-institutions-accounts-catalogs.model:385-396).</w:t>
      </w:r>
    </w:p>
    <w:p>
      <w:pPr>
        <w:pStyle w:val="ListParagraph"/>
        <w:numPr>
          <w:ilvl w:val="0"/>
          <w:numId w:val="3"/>
        </w:numPr>
        <w:bidi/>
        <w:spacing w:after="70" w:before="0" w:line="300"/>
      </w:pPr>
      <w:r>
        <w:rPr>
          <w:rFonts w:ascii="Arial" w:cs="Arial" w:eastAsia="Arial" w:hAnsi="Arial"/>
          <w:b w:val="false"/>
          <w:bCs w:val="false"/>
          <w:sz w:val="21"/>
          <w:szCs w:val="21"/>
          <w:rtl/>
        </w:rPr>
        <w:t xml:space="preserve">ولا يُحمَّل رقم حساب حقيقي قبل حسم حفظ المفتاح الرئيسي وإقامة البيانات والنسخ الاحتياطي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(docs/adr/0001-schema-work-on-linux.md:26).</w:t>
      </w:r>
    </w:p>
    <w:p>
      <w:pPr>
        <w:bidi/>
        <w:spacing w:after="60" w:before="0"/>
      </w:pPr>
    </w:p>
    <w:p>
      <w:pPr>
        <w:pStyle w:val="Heading2"/>
        <w:bidi/>
      </w:pPr>
      <w:bookmarkStart w:name="_sec15" w:id="15"/>
      <w:r>
        <w:rPr>
          <w:rFonts w:ascii="Arial" w:cs="Arial" w:eastAsia="Arial" w:hAnsi="Arial"/>
          <w:b/>
          <w:bCs/>
          <w:color w:val="2B5C8A"/>
          <w:sz w:val="26"/>
          <w:szCs w:val="26"/>
          <w:rtl/>
        </w:rPr>
        <w:t xml:space="preserve">7.3 التشغيل التجريبي والتحقق والرفض </w:t>
      </w:r>
      <w:r>
        <w:rPr>
          <w:rFonts w:ascii="Arial" w:cs="Arial" w:eastAsia="Arial" w:hAnsi="Arial"/>
          <w:color w:val="E0A800"/>
          <w:sz w:val="26"/>
          <w:szCs w:val="26"/>
          <w:rtl/>
        </w:rPr>
        <w:t xml:space="preserve">●</w:t>
      </w:r>
      <w:bookmarkEnd w:id="1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65"/>
        <w:gridCol w:w="7699"/>
      </w:tblGrid>
      <w:tr>
        <w:trPr>
          <w:cantSplit/>
          <w:tblHeader/>
        </w:trPr>
        <w:tc>
          <w:tcPr>
            <w:tcW w:type="dxa" w:w="21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6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الوضع الافتراضي</w:t>
            </w:r>
          </w:p>
        </w:tc>
        <w:tc>
          <w:tcPr>
            <w:tcW w:type="dxa" w:w="7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تجريبي: يتحقق من كل الصفوف داخل معاملة ثم يلغيها، ويصدر التقرير نفسه</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التحميل الفعلي</w:t>
            </w:r>
          </w:p>
        </w:tc>
        <w:tc>
          <w:tcPr>
            <w:tcW w:type="dxa" w:w="7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يشترط تشغيلًا تجريبيًا سليمًا على الملف نفسه (بصمة SHA-256) خلال 24 ساعة</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الذرية</w:t>
            </w:r>
          </w:p>
        </w:tc>
        <w:tc>
          <w:tcPr>
            <w:tcW w:type="dxa" w:w="7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 كله أو لا شيء: أي خطأ E يمنع تحميل الملف كله</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التحذيرات</w:t>
            </w:r>
          </w:p>
        </w:tc>
        <w:tc>
          <w:tcPr>
            <w:tcW w:type="dxa" w:w="7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W تُحمَّل بعد إقرار مسجَّل في التشغيل، على نمط DOC-B04 §9.2</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تقرير الرفض</w:t>
            </w:r>
          </w:p>
        </w:tc>
        <w:tc>
          <w:tcPr>
            <w:tcW w:type="dxa" w:w="7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صف: رقم الصف، والعمود، والرمز (V-XXX-nn أو BR)، والشدة، ورسالة إنجليزية؛ ويُصدَّر CSV</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حماية المقيّد</w:t>
            </w:r>
          </w:p>
        </w:tc>
        <w:tc>
          <w:tcPr>
            <w:tcW w:type="dxa" w:w="7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التقرير لا يكرر رقم الحساب ولا IBAN، بل آخر 4 خانات فقط (X-SEC-3)</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الملف الأصلي</w:t>
            </w:r>
          </w:p>
        </w:tc>
        <w:tc>
          <w:tcPr>
            <w:tcW w:type="dxa" w:w="7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يُرفع عبر الواجهة إلى مخزن المستندات المشفّر (FR-PLT-027)، ويُحذف بعد انقضاء مدة تقررها DOC-S07</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الصلاحية</w:t>
            </w:r>
          </w:p>
        </w:tc>
        <w:tc>
          <w:tcPr>
            <w:tcW w:type="dxa" w:w="7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الشركات والبنوك والعلاقات لـ TA أو TM. الحسابات لمن يرى الأرقام كاملة: TM وFO وTE (Q-ACC-02)</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فصل المهام</w:t>
            </w:r>
          </w:p>
        </w:tc>
        <w:tc>
          <w:tcPr>
            <w:tcW w:type="dxa" w:w="7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يرفع الملف لا يعتمد التحميل الفعلي للحسابات (X-SEC-7)</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السجل</w:t>
            </w:r>
          </w:p>
        </w:tc>
        <w:tc>
          <w:tcPr>
            <w:tcW w:type="dxa" w:w="7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في cfg.JobRun (db/model/10-platform.model:554) وحدث تدقيق بعدد الصفوف وبصمة الملف</w:t>
            </w:r>
          </w:p>
        </w:tc>
      </w:tr>
      <w:tr>
        <w:trPr>
          <w:cantSplit/>
        </w:trPr>
        <w:tc>
          <w:tcPr>
            <w:tcW w:type="dxa" w:w="216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الواجهة</w:t>
            </w:r>
          </w:p>
        </w:tc>
        <w:tc>
          <w:tcPr>
            <w:tcW w:type="dxa" w:w="7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نقطة POST /api/v1/imports بمفتاح Idempotency-Key وإجابة 202، وفق DOC-B04</w:t>
            </w:r>
          </w:p>
        </w:tc>
      </w:tr>
    </w:tbl>
    <w:p>
      <w:pPr>
        <w:bidi/>
        <w:spacing w:after="120" w:before="0"/>
      </w:pPr>
    </w:p>
    <w:p>
      <w:pPr>
        <w:pStyle w:val="Heading1"/>
        <w:bidi/>
      </w:pPr>
      <w:bookmarkStart w:name="_sec16" w:id="16"/>
      <w:r>
        <w:rPr>
          <w:rFonts w:ascii="Arial" w:cs="Arial" w:eastAsia="Arial" w:hAnsi="Arial"/>
          <w:b/>
          <w:bCs/>
          <w:color w:val="1F3A5F"/>
          <w:sz w:val="32"/>
          <w:szCs w:val="32"/>
          <w:rtl/>
        </w:rPr>
        <w:t xml:space="preserve">8. الاختبارات (تُنقل إلى DOC-B01)</w:t>
      </w:r>
      <w:bookmarkEnd w:id="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17"/>
        <w:gridCol w:w="2655"/>
        <w:gridCol w:w="5692"/>
      </w:tblGrid>
      <w:tr>
        <w:trPr>
          <w:cantSplit/>
          <w:tblHeader/>
        </w:trPr>
        <w:tc>
          <w:tcPr>
            <w:tcW w:type="dxa" w:w="15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6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c>
          <w:tcPr>
            <w:tcW w:type="dxa" w:w="56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يثبت</w:t>
            </w:r>
          </w:p>
        </w:tc>
      </w:tr>
      <w:tr>
        <w:trPr>
          <w:cantSplit/>
        </w:trPr>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T-SEED-1</w:t>
            </w:r>
          </w:p>
        </w:tc>
        <w:tc>
          <w:tcPr>
            <w:tcW w:type="dxa" w:w="26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نشر ثم بذر المنصة مرتين؛ العدد والبصمة متطابقان</w:t>
            </w:r>
          </w:p>
        </w:tc>
        <w:tc>
          <w:tcPr>
            <w:tcW w:type="dxa" w:w="5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التكرار الآمن</w:t>
            </w:r>
          </w:p>
        </w:tc>
      </w:tr>
      <w:tr>
        <w:trPr>
          <w:cantSplit/>
        </w:trPr>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T-SEED-2</w:t>
            </w:r>
          </w:p>
        </w:tc>
        <w:tc>
          <w:tcPr>
            <w:tcW w:type="dxa" w:w="26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تهيئة مشترك ثم إعادة الحزم؛ CreatedCount=0 في الثانية</w:t>
            </w:r>
          </w:p>
        </w:tc>
        <w:tc>
          <w:tcPr>
            <w:tcW w:type="dxa" w:w="5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 BR-CAT-002</w:t>
            </w:r>
          </w:p>
        </w:tc>
      </w:tr>
      <w:tr>
        <w:trPr>
          <w:cantSplit/>
        </w:trPr>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T-SEED-3</w:t>
            </w:r>
          </w:p>
        </w:tc>
        <w:tc>
          <w:tcPr>
            <w:tcW w:type="dxa" w:w="26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الأعداد بعد التهيئة: 22 منتجًا و19 نوع رسوم و42 نوع مستند و7 أشكال و12 منصبًا و10 أنواع صلاحية و11 نوع عملية</w:t>
            </w:r>
          </w:p>
        </w:tc>
        <w:tc>
          <w:tcPr>
            <w:tcW w:type="dxa" w:w="5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FR-CAT-002 (11-m2-m4…:165)</w:t>
            </w:r>
          </w:p>
        </w:tc>
      </w:tr>
      <w:tr>
        <w:trPr>
          <w:cantSplit/>
        </w:trPr>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T-SEED-4</w:t>
            </w:r>
          </w:p>
        </w:tc>
        <w:tc>
          <w:tcPr>
            <w:tcW w:type="dxa" w:w="26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عدّله المشترك لا يتغير عند UPGRADE، ويظهر في DiffJson</w:t>
            </w:r>
          </w:p>
        </w:tc>
        <w:tc>
          <w:tcPr>
            <w:tcW w:type="dxa" w:w="5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w:t>
            </w:r>
          </w:p>
        </w:tc>
      </w:tr>
      <w:tr>
        <w:trPr>
          <w:cantSplit/>
        </w:trPr>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T-SEED-5</w:t>
            </w:r>
          </w:p>
        </w:tc>
        <w:tc>
          <w:tcPr>
            <w:tcW w:type="dxa" w:w="26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اتصال المشترك لا يكتب جدولًا عالميًا مثل ref.Currency</w:t>
            </w:r>
          </w:p>
        </w:tc>
        <w:tc>
          <w:tcPr>
            <w:tcW w:type="dxa" w:w="5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docs/20-database-design.md:493 (اختبار غير مكتوب)</w:t>
            </w:r>
          </w:p>
        </w:tc>
      </w:tr>
      <w:tr>
        <w:trPr>
          <w:cantSplit/>
        </w:trPr>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T-IMP-1</w:t>
            </w:r>
          </w:p>
        </w:tc>
        <w:tc>
          <w:tcPr>
            <w:tcW w:type="dxa" w:w="26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التشغيل التجريبي لا يترك صفًا</w:t>
            </w:r>
          </w:p>
        </w:tc>
        <w:tc>
          <w:tcPr>
            <w:tcW w:type="dxa" w:w="5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w:t>
            </w:r>
          </w:p>
        </w:tc>
      </w:tr>
      <w:tr>
        <w:trPr>
          <w:cantSplit/>
        </w:trPr>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T-IMP-2</w:t>
            </w:r>
          </w:p>
        </w:tc>
        <w:tc>
          <w:tcPr>
            <w:tcW w:type="dxa" w:w="26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فيه خطأ E واحد لا يحمّل أي صف، والتقرير يسمّي الصف والعمود</w:t>
            </w:r>
          </w:p>
        </w:tc>
        <w:tc>
          <w:tcPr>
            <w:tcW w:type="dxa" w:w="5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w:t>
            </w:r>
          </w:p>
        </w:tc>
      </w:tr>
      <w:tr>
        <w:trPr>
          <w:cantSplit/>
        </w:trPr>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T-IMP-3</w:t>
            </w:r>
          </w:p>
        </w:tc>
        <w:tc>
          <w:tcPr>
            <w:tcW w:type="dxa" w:w="26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الحسابات لا يحوي رقمًا كاملًا</w:t>
            </w:r>
          </w:p>
        </w:tc>
        <w:tc>
          <w:tcPr>
            <w:tcW w:type="dxa" w:w="5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X-SEC-3</w:t>
            </w:r>
          </w:p>
        </w:tc>
      </w:tr>
    </w:tbl>
    <w:p>
      <w:pPr>
        <w:bidi/>
        <w:spacing w:after="120" w:before="0"/>
      </w:pPr>
    </w:p>
    <w:p>
      <w:pPr>
        <w:pStyle w:val="Heading1"/>
        <w:bidi/>
      </w:pPr>
      <w:bookmarkStart w:name="_sec17" w:id="17"/>
      <w:r>
        <w:rPr>
          <w:rFonts w:ascii="Arial" w:cs="Arial" w:eastAsia="Arial" w:hAnsi="Arial"/>
          <w:b/>
          <w:bCs/>
          <w:color w:val="1F3A5F"/>
          <w:sz w:val="32"/>
          <w:szCs w:val="32"/>
          <w:rtl/>
        </w:rPr>
        <w:t xml:space="preserve">9. القرارات المطلوبة</w:t>
      </w:r>
      <w:bookmarkEnd w:id="1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05"/>
        <w:gridCol w:w="2758"/>
        <w:gridCol w:w="2756"/>
        <w:gridCol w:w="1305"/>
        <w:gridCol w:w="1740"/>
      </w:tblGrid>
      <w:tr>
        <w:trPr>
          <w:cantSplit/>
          <w:tblHeader/>
        </w:trPr>
        <w:tc>
          <w:tcPr>
            <w:tcW w:type="dxa" w:w="13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7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7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3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7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DQ-B05-1</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لبذر المنصة، وcfg.SeedRun مملوك للمشترك</w:t>
            </w:r>
          </w:p>
        </w:tc>
        <w:tc>
          <w:tcPr>
            <w:tcW w:type="dxa" w:w="2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عالمي جديد cfg.PlatformSeedRun بالأعمدة نفسها</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§4.3، T-SEED-1</w:t>
            </w:r>
          </w:p>
        </w:tc>
      </w:tr>
      <w:tr>
        <w:trPr>
          <w:cantSplit/>
        </w:trPr>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DQ-B05-2</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يعيش محتوى الحزم</w:t>
            </w:r>
          </w:p>
        </w:tc>
        <w:tc>
          <w:tcPr>
            <w:tcW w:type="dxa" w:w="2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CSV وmanifest في db/seed/packs؛ سكربت MERGE مولَّد للمنصة، وITenantSeeder للمشترك</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 مع DBA</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الحزم</w:t>
            </w:r>
          </w:p>
        </w:tc>
      </w:tr>
      <w:tr>
        <w:trPr>
          <w:cantSplit/>
        </w:trPr>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DQ-B05-3</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كشف تعديل المشترك لصف مبذور</w:t>
            </w:r>
          </w:p>
        </w:tc>
        <w:tc>
          <w:tcPr>
            <w:tcW w:type="dxa" w:w="2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عمودا SeedVersion وSeedHash في أساس الكتالوج وكل جدول بـ SeedKey</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UPGRADE وT-SEED-4</w:t>
            </w:r>
          </w:p>
        </w:tc>
      </w:tr>
      <w:tr>
        <w:trPr>
          <w:cantSplit/>
        </w:trPr>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DQ-B05-4</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الباقات الأولى</w:t>
            </w:r>
          </w:p>
        </w:tc>
        <w:tc>
          <w:tcPr>
            <w:tcW w:type="dxa" w:w="2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باقة واحدة STANDARD بكل الوحدات وبلا حدود</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مشترك في S0</w:t>
            </w:r>
          </w:p>
        </w:tc>
      </w:tr>
      <w:tr>
        <w:trPr>
          <w:cantSplit/>
        </w:trPr>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DQ-B05-5</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الدول والعملات كاملة أم جزئية</w:t>
            </w:r>
          </w:p>
        </w:tc>
        <w:tc>
          <w:tcPr>
            <w:tcW w:type="dxa" w:w="2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كاملة بعلم IsActive، وإصدار ISO مسجَّل</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DQ-B05-6</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الأشكال القانونية والمناصب وأنواع الصلاحيات (Q-CAT-03، Q-ORG-10)</w:t>
            </w:r>
          </w:p>
        </w:tc>
        <w:tc>
          <w:tcPr>
            <w:tcW w:type="dxa" w:w="2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5 أشكال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تُبذر، وPARTNERSHIP وFOREIGN_BRANCH بعد إقرار LEG</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مع TRM</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CAT.ORG في S1</w:t>
            </w:r>
          </w:p>
        </w:tc>
      </w:tr>
      <w:tr>
        <w:trPr>
          <w:cantSplit/>
        </w:trPr>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DQ-B05-7</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تمهيد أول مشغّل منصة</w:t>
            </w:r>
          </w:p>
        </w:tc>
        <w:tc>
          <w:tcPr>
            <w:tcW w:type="dxa" w:w="2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لمرة واحدة يشغّله OPS ويصدر دعوة، بلا كلمة مرور في سكربت</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(DOC-S08، DOC-F03)</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w:t>
            </w:r>
          </w:p>
        </w:tc>
      </w:tr>
      <w:tr>
        <w:trPr>
          <w:cantSplit/>
        </w:trPr>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DQ-B05-8</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متطلب FR لقوالب Excel</w:t>
            </w:r>
          </w:p>
        </w:tc>
        <w:tc>
          <w:tcPr>
            <w:tcW w:type="dxa" w:w="2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إضافة متطلبات استيراد للشركات (10) وللمنشآت والعلاقات والحسابات (11) بأولوية Should في S1</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BA</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DQ-B05-9</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تشغيل الاستيراد</w:t>
            </w:r>
          </w:p>
        </w:tc>
        <w:tc>
          <w:tcPr>
            <w:tcW w:type="dxa" w:w="2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cfg.JobRun للتشغيل، والتقرير مستند في doc.Document، بلا جدول جديد</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w:t>
            </w:r>
          </w:p>
        </w:tc>
      </w:tr>
      <w:tr>
        <w:trPr>
          <w:cantSplit/>
        </w:trPr>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DQ-B05-10</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أداة ترحيل المخطط بين الإصدارات (O-2 في 20-database-design)</w:t>
            </w:r>
          </w:p>
        </w:tc>
        <w:tc>
          <w:tcPr>
            <w:tcW w:type="dxa" w:w="2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تُختار قبل أول نشر على بيانات حقيقية؛ المذكور في الوثيقة DbUp أو Flyway</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OPS</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بيانات حقيقية</w:t>
            </w:r>
          </w:p>
        </w:tc>
      </w:tr>
      <w:tr>
        <w:trPr>
          <w:cantSplit/>
        </w:trPr>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DQ-B05-11</w:t>
            </w:r>
          </w:p>
        </w:tc>
        <w:tc>
          <w:tcPr>
            <w:tcW w:type="dxa" w:w="2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 الدول (Q-CAT-01)</w:t>
            </w:r>
          </w:p>
        </w:tc>
        <w:tc>
          <w:tcPr>
            <w:tcW w:type="dxa" w:w="2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حزمة واحدة للسعودية والخليج</w:t>
            </w:r>
          </w:p>
        </w:tc>
        <w:tc>
          <w:tcPr>
            <w:tcW w:type="dxa" w:w="1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CAT.ORG وCAT.BANKING</w:t>
            </w:r>
          </w:p>
        </w:tc>
      </w:tr>
      <w:tr>
        <w:trPr>
          <w:cantSplit/>
        </w:trPr>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DQ-B05-12</w:t>
            </w:r>
          </w:p>
        </w:tc>
        <w:tc>
          <w:tcPr>
            <w:tcW w:type="dxa" w:w="2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أدوار النظام ورموزها الموحدة</w:t>
            </w:r>
          </w:p>
        </w:tc>
        <w:tc>
          <w:tcPr>
            <w:tcW w:type="dxa" w:w="2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TA وTM وFO وTE وFA وRQ وAU كما في 12-m5…:46، وتُثبَّت في 10 §2</w:t>
            </w:r>
          </w:p>
        </w:tc>
        <w:tc>
          <w:tcPr>
            <w:tcW w:type="dxa" w:w="1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SEC</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CORE.ROLES في S0</w:t>
            </w:r>
          </w:p>
        </w:tc>
      </w:tr>
    </w:tbl>
    <w:p>
      <w:pPr>
        <w:bidi/>
        <w:spacing w:after="120" w:before="0"/>
      </w:pPr>
    </w:p>
    <w:p>
      <w:pPr>
        <w:pStyle w:val="Heading1"/>
        <w:bidi/>
      </w:pPr>
      <w:bookmarkStart w:name="_sec18" w:id="18"/>
      <w:r>
        <w:rPr>
          <w:rFonts w:ascii="Arial" w:cs="Arial" w:eastAsia="Arial" w:hAnsi="Arial"/>
          <w:b/>
          <w:bCs/>
          <w:color w:val="1F3A5F"/>
          <w:sz w:val="32"/>
          <w:szCs w:val="32"/>
          <w:rtl/>
        </w:rPr>
        <w:t xml:space="preserve">10. تعارضات وفجوات في المصادر</w:t>
      </w:r>
      <w:bookmarkEnd w:id="18"/>
    </w:p>
    <w:p>
      <w:pPr>
        <w:pStyle w:val="ListParagraph"/>
        <w:numPr>
          <w:ilvl w:val="0"/>
          <w:numId w:val="5"/>
        </w:numPr>
        <w:bidi/>
        <w:spacing w:after="70" w:before="0" w:line="300"/>
      </w:pPr>
      <w:r>
        <w:rPr>
          <w:rFonts w:ascii="Arial" w:cs="Arial" w:eastAsia="Arial" w:hAnsi="Arial"/>
          <w:b w:val="false"/>
          <w:bCs w:val="false"/>
          <w:sz w:val="21"/>
          <w:szCs w:val="21"/>
          <w:rtl/>
        </w:rPr>
        <w:t xml:space="preserve">docs/20-database-design.md:474 يضع ntf.NotificationEventType و«تعريفات حقول الاعتماد» في البذر العالمي. النموذج يجعلهما مملوكين للمشترك (db/model/15-workflow-notifications.model:527؛ db/model/16-letters-of-credit.model:64).</w:t>
      </w:r>
    </w:p>
    <w:p>
      <w:pPr>
        <w:pStyle w:val="ListParagraph"/>
        <w:numPr>
          <w:ilvl w:val="0"/>
          <w:numId w:val="5"/>
        </w:numPr>
        <w:bidi/>
        <w:spacing w:after="70" w:before="0" w:line="300"/>
      </w:pPr>
      <w:r>
        <w:rPr>
          <w:rFonts w:ascii="Arial" w:cs="Arial" w:eastAsia="Arial" w:hAnsi="Arial"/>
          <w:b w:val="false"/>
          <w:bCs w:val="false"/>
          <w:sz w:val="21"/>
          <w:szCs w:val="21"/>
          <w:rtl/>
        </w:rPr>
        <w:t xml:space="preserve">docs/20-database-design.md:474 يقول إن cfg.SeedRun يسجّل البذر العالمي، والجدول مملوك للمشترك (db/generated/tsql/001_tables.sql:933-934).</w:t>
      </w:r>
    </w:p>
    <w:p>
      <w:pPr>
        <w:pStyle w:val="ListParagraph"/>
        <w:numPr>
          <w:ilvl w:val="0"/>
          <w:numId w:val="5"/>
        </w:numPr>
        <w:bidi/>
        <w:spacing w:after="70" w:before="0" w:line="300"/>
      </w:pPr>
      <w:r>
        <w:rPr>
          <w:rFonts w:ascii="Arial" w:cs="Arial" w:eastAsia="Arial" w:hAnsi="Arial"/>
          <w:b w:val="false"/>
          <w:bCs w:val="false"/>
          <w:sz w:val="21"/>
          <w:szCs w:val="21"/>
          <w:rtl/>
        </w:rPr>
        <w:t xml:space="preserve">BR-PLT-001 (10-m0-m1…:227) يعدّ LookupList وLookupItem وIncoterm وLC_TYPE مختلطة، ويقصر العالمية على Country وCurrency وPermission وPlan وPlatformOperator. النموذج: قوائم القيم مملوكة للمشترك (DR-03، docs/20-database-design.md:421-428)، وref.Incoterm عالمي (db/model/16-letters-of-credit.model:32)، والعالمية 11 جدولًا منها ReservedSubdomain وPlanModule وSettingDefinition.</w:t>
      </w:r>
    </w:p>
    <w:p>
      <w:pPr>
        <w:pStyle w:val="ListParagraph"/>
        <w:numPr>
          <w:ilvl w:val="0"/>
          <w:numId w:val="5"/>
        </w:numPr>
        <w:bidi/>
        <w:spacing w:after="70" w:before="0" w:line="300"/>
      </w:pPr>
      <w:r>
        <w:rPr>
          <w:rFonts w:ascii="Arial" w:cs="Arial" w:eastAsia="Arial" w:hAnsi="Arial"/>
          <w:b w:val="false"/>
          <w:bCs w:val="false"/>
          <w:sz w:val="21"/>
          <w:szCs w:val="21"/>
          <w:rtl/>
        </w:rPr>
        <w:t xml:space="preserve">11-m2-m4…:344-345 تصف LC_TYPE وLC_CONFIRMATION بأنها «عالمي»، وهما قائمتا قيم صارتا مملوكتين للمشترك بعد DR-03.</w:t>
      </w:r>
    </w:p>
    <w:p>
      <w:pPr>
        <w:pStyle w:val="ListParagraph"/>
        <w:numPr>
          <w:ilvl w:val="0"/>
          <w:numId w:val="5"/>
        </w:numPr>
        <w:bidi/>
        <w:spacing w:after="70" w:before="0" w:line="300"/>
      </w:pPr>
      <w:r>
        <w:rPr>
          <w:rFonts w:ascii="Arial" w:cs="Arial" w:eastAsia="Arial" w:hAnsi="Arial"/>
          <w:b w:val="false"/>
          <w:bCs w:val="false"/>
          <w:sz w:val="21"/>
          <w:szCs w:val="21"/>
          <w:rtl/>
        </w:rPr>
        <w:t xml:space="preserve">FR-PLT-008 في S0 (10-m0-m1…:110) يبذر الإدارات والأشكال القانونية والمناصب والكتالوجات، بينما متطلباتها في S1: FR-ORG-014 (:168)، FR-CAT-002 (11-m2-m4…:165)، FR-CAT-019 (:182). الحل هنا: الآلية والحزم الأساسية في S0، والمحتوى مع شريحته.</w:t>
      </w:r>
    </w:p>
    <w:p>
      <w:pPr>
        <w:pStyle w:val="ListParagraph"/>
        <w:numPr>
          <w:ilvl w:val="0"/>
          <w:numId w:val="5"/>
        </w:numPr>
        <w:bidi/>
        <w:spacing w:after="70" w:before="0" w:line="300"/>
      </w:pPr>
      <w:r>
        <w:rPr>
          <w:rFonts w:ascii="Arial" w:cs="Arial" w:eastAsia="Arial" w:hAnsi="Arial"/>
          <w:b w:val="false"/>
          <w:bCs w:val="false"/>
          <w:sz w:val="21"/>
          <w:szCs w:val="21"/>
          <w:rtl/>
        </w:rPr>
        <w:t xml:space="preserve">قوالب Excel في 00-overview…:219 بلا أي متطلب FR، وFR-CAT-024 (11-m2-m4…:187) يغطي الكتالوجات فقط في S5.</w:t>
      </w:r>
    </w:p>
    <w:p>
      <w:pPr>
        <w:pStyle w:val="ListParagraph"/>
        <w:numPr>
          <w:ilvl w:val="0"/>
          <w:numId w:val="5"/>
        </w:numPr>
        <w:bidi/>
        <w:spacing w:after="70" w:before="0" w:line="300"/>
      </w:pPr>
      <w:r>
        <w:rPr>
          <w:rFonts w:ascii="Arial" w:cs="Arial" w:eastAsia="Arial" w:hAnsi="Arial"/>
          <w:b w:val="false"/>
          <w:bCs w:val="false"/>
          <w:sz w:val="21"/>
          <w:szCs w:val="21"/>
          <w:rtl/>
        </w:rPr>
        <w:t xml:space="preserve">افتراض Q-CAT-01 «للسعودية/الخليج» (90-consolidated…:63)، وفي 00-overview…:311 «حزمة واحدة (السعودية)».</w:t>
      </w:r>
    </w:p>
    <w:p>
      <w:pPr>
        <w:pStyle w:val="ListParagraph"/>
        <w:numPr>
          <w:ilvl w:val="0"/>
          <w:numId w:val="5"/>
        </w:numPr>
        <w:bidi/>
        <w:spacing w:after="70" w:before="0" w:line="300"/>
      </w:pPr>
      <w:r>
        <w:rPr>
          <w:rFonts w:ascii="Arial" w:cs="Arial" w:eastAsia="Arial" w:hAnsi="Arial"/>
          <w:b w:val="false"/>
          <w:bCs w:val="false"/>
          <w:sz w:val="21"/>
          <w:szCs w:val="21"/>
          <w:rtl/>
        </w:rPr>
        <w:t xml:space="preserve">FR-CAT-026 (11-m2-m4…:189) يربط إضافة الدول بصلاحية </w:t>
      </w:r>
      <w:r>
        <w:rPr>
          <w:rFonts w:ascii="Courier New" w:cs="Courier New" w:eastAsia="Courier New" w:hAnsi="Courier New"/>
          <w:b w:val="false"/>
          <w:bCs w:val="false"/>
          <w:color w:val="1F2937"/>
          <w:sz w:val="18"/>
          <w:szCs w:val="18"/>
          <w:shd w:fill="F1F3F5" w:color="auto" w:val="clear"/>
          <w:rtl/>
        </w:rPr>
        <w:t xml:space="preserve">‎cat.global.manage‎</w:t>
      </w:r>
      <w:r>
        <w:rPr>
          <w:rFonts w:ascii="Arial" w:cs="Arial" w:eastAsia="Arial" w:hAnsi="Arial"/>
          <w:b w:val="false"/>
          <w:bCs w:val="false"/>
          <w:sz w:val="21"/>
          <w:szCs w:val="21"/>
          <w:rtl/>
        </w:rPr>
        <w:t xml:space="preserve">، والمشغّل لا يحمل صلاحيات sec.Permission بل دورًا في plat.PlatformOperator.Role (db/model/10-platform.model:67).</w:t>
      </w:r>
    </w:p>
    <w:p>
      <w:pPr>
        <w:bidi/>
        <w:spacing w:after="60" w:before="0"/>
      </w:pPr>
    </w:p>
    <w:p>
      <w:pPr>
        <w:pStyle w:val="Heading1"/>
        <w:bidi/>
      </w:pPr>
      <w:bookmarkStart w:name="_sec19" w:id="19"/>
      <w:r>
        <w:rPr>
          <w:rFonts w:ascii="Arial" w:cs="Arial" w:eastAsia="Arial" w:hAnsi="Arial"/>
          <w:b/>
          <w:bCs/>
          <w:color w:val="1F3A5F"/>
          <w:sz w:val="32"/>
          <w:szCs w:val="32"/>
          <w:rtl/>
        </w:rPr>
        <w:t xml:space="preserve">11. التتبع</w:t>
      </w:r>
      <w:bookmarkEnd w:id="1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9"/>
        <w:gridCol w:w="2216"/>
        <w:gridCol w:w="6649"/>
      </w:tblGrid>
      <w:tr>
        <w:trPr>
          <w:cantSplit/>
          <w:tblHeader/>
        </w:trPr>
        <w:tc>
          <w:tcPr>
            <w:tcW w:type="dxa" w:w="9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2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6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غياب البذر</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O-3 (20-database-design)</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docs/20-database-design.md:531</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 المراجع العالمية</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FR-CAT-021، FR-CAT-026، BR-CAT-015، BR-CAT-018</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11-m2-m4…:184، :189، :253، :256</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 الصلاحيات</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FR-PLT-017، FR-PLT-019، BR-PLT-019</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10-m0-m1…:119، :121، :245</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 الإعدادات</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 BR-PLT-018</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10-m0-m1…:145، :244</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 دليل البنوك</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Q-INS-01، FR-INS-020</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90-consolidated…:48؛ db/model/12-institutions-accounts-catalogs.model:288</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§4.3 ترتيب النشر</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deploy.sql، RLS للمختلط</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db/deploy.sql:22-34؛ db/static/010_rls.sql:70-75</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 الحزم</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 FR-CAT-002، FR-CAT-018، FR-CAT-019</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10-m0-m1…:110؛ 11-m2-m4…:165، :181، :182</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 الملكية</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Q-CAT-03، Q-ORG-10، X-SEC-7</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90-consolidated…:65، :32؛ 00-overview…:142</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التكرار الآمن</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BR-CAT-002، BR-CAT-003، cfg.SeedRun</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11-m2-m4…:240-241؛ db/model/10-platform.model:572-584</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قوالب Excel</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00-overview §8</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docs/10-detailed-analysis/00-overview-and-cross-cutting.md:219</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§7.1 القواعد</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BR-ORG-001 إلى BR-ORG-004، V-INS-01، V-INS-02، V-INS-05، V-ACC-01، V-ACC-03</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10-m0-m1…:251-254؛ 11-m2-m4…:491-500</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§7.2 المفاتيح</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(العواقب)، FR-PLT-037</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docs/adr/0001-schema-work-on-linux.md:26؛ 10-m0-m1…:139</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 حماية المقيّد</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X-SEC-3، Q-ACC-02</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00-overview…:138؛ 90-consolidated…:56</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DOC-B05 · BankFas · مستندات الجاهزية P0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8bf5da570103e2a49ffd1ddde6012c6605c810.png"/><Relationship Id="rId10" Type="http://schemas.openxmlformats.org/officeDocument/2006/relationships/image" Target="media/13650de25d68807e07cd0c0701015690c390dc4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DOC-B05 — خطة البذر والترحيل الأولي</dc:title>
  <dc:creator>Claude</dc:creator>
  <dc:description>BankFas database design document</dc:description>
  <cp:lastModifiedBy>Un-named</cp:lastModifiedBy>
  <cp:revision>1</cp:revision>
  <dcterms:created xsi:type="dcterms:W3CDTF">2026-10-13T11:01:57.613Z</dcterms:created>
  <dcterms:modified xsi:type="dcterms:W3CDTF">2026-10-13T11:01:57.614Z</dcterms:modified>
</cp:coreProperties>
</file>

<file path=docProps/custom.xml><?xml version="1.0" encoding="utf-8"?>
<Properties xmlns="http://schemas.openxmlformats.org/officeDocument/2006/custom-properties" xmlns:vt="http://schemas.openxmlformats.org/officeDocument/2006/docPropsVTypes"/>
</file>