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للتغيير والإعادة وإعادة التجزئة والدعوة وفك القفل، ثم DENY UPDATE على PasswordHash وStatus وأعمدة القفل لـ tp_app</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إجراءان بصفة tp_auth_exec لتمديد الخمول حتى المهلة المطلقة وللإنهاء (DQ-F04-8، DQ-F03-6)، ثم DENY UPDATE على الأعمدة الثلاثة لـ tp_app</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لـ tp_app، وفحص السجل داخل إجراء؛ وإلا قد تُعاد التجزئة الحالية إن خُزّنت في السجل</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داخل القاعدة ثم DENY SELECT على CodeHash (DQ-F03-3)</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2026-10-12T14:31:25.191Z</dcterms:created>
  <dcterms:modified xsi:type="dcterms:W3CDTF">2026-10-12T14:31:25.192Z</dcterms:modified>
</cp:coreProperties>
</file>

<file path=docProps/custom.xml><?xml version="1.0" encoding="utf-8"?>
<Properties xmlns="http://schemas.openxmlformats.org/officeDocument/2006/custom-properties" xmlns:vt="http://schemas.openxmlformats.org/officeDocument/2006/docPropsVTypes"/>
</file>