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تقييم أثر حماية البيانات: صورة الصعود</w:t>
      </w:r>
    </w:p>
    <w:p>
      <w:pPr>
        <w:bidi/>
        <w:spacing w:after="300" w:line="300"/>
        <w:jc w:val="right"/>
      </w:pPr>
      <w:r>
        <w:rPr>
          <w:rFonts w:ascii="Arial" w:cs="Arial" w:eastAsia="Arial" w:hAnsi="Arial"/>
          <w:color w:val="4B5565"/>
          <w:sz w:val="22"/>
          <w:szCs w:val="22"/>
          <w:rtl/>
        </w:rPr>
        <w:t xml:space="preserve">تقييم المعالجة قبل تشغيل الميزة، وما يلزم لتشغيلها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0.2 (مسودة للمراجعة والاعتماد)</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الميزة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صورة الصعود (ملفات القاعدة 1086 إلى 1096)، وعرضها عند كاونتر المحطة (1111)، وهي مغلقة عند الإطلاق</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يعتمدها</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مسؤول حماية البيانات، ومالك المنصة، ومسؤول الأمن</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في سجل الوثائق</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البند ج7 (تصميم الأمن ونموذج التهديد)، والبند ز2 (المستند القانوني)</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وصف المعالجة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51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البيانات</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صورة وجه الشخص، صورة واحدة على الأكثر لكل شخص، وبياناتها الوصفية (وقت الالتقاط ومن التقطها)</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الغرض</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البصري من أن حامل التذكرة هو صاحبها عند الصعود، ومنع استعمال التذكرة من غير صاحبها</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أصحاب البيانات</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المسافرون؛ ويلتقط رب العائلة صور أفرادها المرتبطين، ومنهم القاصرون</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من يرى الصورة</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نفسه عند الطلب؛ والسائق المسند إلى الرحلة ومكتب الناقل والوكيل، كلٌّ حسب إعداد العرض، والرحلة في حالة BOARDING فقط. عند الإطلاق: السائق مسموح، ومكتب الناقل والوكيل غير مسموحين. وموظف كاونتر شركة تشغيل المحطة عند تسجيل التذكرة دور خامس مغلق، لا يُفعَّل من المنصة حتى تصدر الموافقات القانونية والتشريعية التي تتيح عرضها، ويُرفض تفعيله دون رقم المستند القانوني (1111)</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الحفظ</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الملف مشفّر في مخزن الكائنات، ومرجعه في iam.party_photo</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المدة</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تبقى ما بقي حساب الشخص، وتُمحى مع الشخص في طلب المحو (gov.erase_party_photo)</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المعالجة الآلية</w:t>
            </w:r>
          </w:p>
        </w:tc>
        <w:tc>
          <w:tcPr>
            <w:tcW w:type="dxa" w:w="751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لا يستخرج النظام قالباً حيوياً من الصورة ولا يطابقها آلياً؛ التحقق بصري يجريه موظف الصعود</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المزودون</w:t>
            </w:r>
          </w:p>
        </w:tc>
        <w:tc>
          <w:tcPr>
            <w:tcW w:type="dxa" w:w="751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الهوية عبر مزود خارجي مبني ومرفوض حتى يُربط مزود (IDENTITY_PROVIDER_NOT_CONFIGURED)</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الضرورة والتناسب</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الأساس القانوني: </w:t>
      </w:r>
      <w:r>
        <w:rPr>
          <w:rFonts w:ascii="Arial" w:cs="Arial" w:eastAsia="Arial" w:hAnsi="Arial"/>
          <w:color w:val="0F1B2D"/>
          <w:sz w:val="21"/>
          <w:szCs w:val="21"/>
          <w:rtl/>
        </w:rPr>
        <w:t xml:space="preserve">لا تُشغَّل الميزة إلا بتغيير يذكر أساسه القانوني ويمر بمراحل الموافقة، ويُسجَّل رقم المستند القانوني مع الاعتماد. المستند نفسه مدخل من المالك (البند ز2).</w:t>
      </w:r>
    </w:p>
    <w:p>
      <w:pPr>
        <w:pStyle w:val="ListParagraph"/>
        <w:numPr>
          <w:ilvl w:val="0"/>
          <w:numId w:val="2"/>
        </w:numPr>
        <w:bidi/>
        <w:spacing w:after="80" w:line="290"/>
        <w:jc w:val="right"/>
      </w:pPr>
      <w:r>
        <w:rPr>
          <w:rFonts w:ascii="Arial" w:cs="Arial" w:eastAsia="Arial" w:hAnsi="Arial"/>
          <w:b/>
          <w:bCs/>
          <w:color w:val="0F1B2D"/>
          <w:sz w:val="21"/>
          <w:szCs w:val="21"/>
          <w:rtl/>
        </w:rPr>
        <w:t xml:space="preserve">تقليل البيانات: </w:t>
      </w:r>
      <w:r>
        <w:rPr>
          <w:rFonts w:ascii="Arial" w:cs="Arial" w:eastAsia="Arial" w:hAnsi="Arial"/>
          <w:color w:val="0F1B2D"/>
          <w:sz w:val="21"/>
          <w:szCs w:val="21"/>
          <w:rtl/>
        </w:rPr>
        <w:t xml:space="preserve">صورة واحدة لكل شخص، دون قالب حيوي ودون مطابقة آلية، ولا تُعرض إلا عند الصعود.</w:t>
      </w:r>
    </w:p>
    <w:p>
      <w:pPr>
        <w:pStyle w:val="ListParagraph"/>
        <w:numPr>
          <w:ilvl w:val="0"/>
          <w:numId w:val="2"/>
        </w:numPr>
        <w:bidi/>
        <w:spacing w:after="80" w:line="290"/>
        <w:jc w:val="right"/>
      </w:pPr>
      <w:r>
        <w:rPr>
          <w:rFonts w:ascii="Arial" w:cs="Arial" w:eastAsia="Arial" w:hAnsi="Arial"/>
          <w:b/>
          <w:bCs/>
          <w:color w:val="0F1B2D"/>
          <w:sz w:val="21"/>
          <w:szCs w:val="21"/>
          <w:rtl/>
        </w:rPr>
        <w:t xml:space="preserve">قواعد الإلزام: </w:t>
      </w:r>
      <w:r>
        <w:rPr>
          <w:rFonts w:ascii="Arial" w:cs="Arial" w:eastAsia="Arial" w:hAnsi="Arial"/>
          <w:color w:val="0F1B2D"/>
          <w:sz w:val="21"/>
          <w:szCs w:val="21"/>
          <w:rtl/>
        </w:rPr>
        <w:t xml:space="preserve">الصورة إلزامية فقط حيث تنص قاعدة معتمدة بحسب السوق ونطاق الرحلة وفئة المسافر، ومن تاريخ تحدده المنصة؛ وإلا فهي اختيارية أو غير مطلوبة.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الشفافية: </w:t>
      </w:r>
      <w:r>
        <w:rPr>
          <w:rFonts w:ascii="Arial" w:cs="Arial" w:eastAsia="Arial" w:hAnsi="Arial"/>
          <w:color w:val="0F1B2D"/>
          <w:sz w:val="21"/>
          <w:szCs w:val="21"/>
          <w:rtl/>
        </w:rPr>
        <w:t xml:space="preserve">يعرف التطبيق هل الصورة مستعملة وهل يحق للمسافر رؤيتها، ويرى المسافر صورته.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حقوق صاحب البيانات: </w:t>
      </w:r>
      <w:r>
        <w:rPr>
          <w:rFonts w:ascii="Arial" w:cs="Arial" w:eastAsia="Arial" w:hAnsi="Arial"/>
          <w:color w:val="0F1B2D"/>
          <w:sz w:val="21"/>
          <w:szCs w:val="21"/>
          <w:rtl/>
        </w:rPr>
        <w:t xml:space="preserve">الاطلاع على الصورة، وطلب تغييرها بدليل يقرره شخص ثانٍ، ومحوها مع الحساب.</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المخاطر ومعالجتها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964"/>
        <w:gridCol w:w="4241"/>
        <w:gridCol w:w="2120"/>
      </w:tblGrid>
      <w:tr>
        <w:trPr>
          <w:tblHeader/>
        </w:trPr>
        <w:tc>
          <w:tcPr>
            <w:tcW w:type="dxa" w:w="231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الخطر</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الأثر</w:t>
            </w:r>
          </w:p>
        </w:tc>
        <w:tc>
          <w:tcPr>
            <w:tcW w:type="dxa" w:w="424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المعالجة في النظام</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الخطر المتبقي</w:t>
            </w:r>
          </w:p>
        </w:tc>
      </w:tr>
      <w:tr>
        <w:trPr>
          <w:cantSplit/>
        </w:trPr>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وصول غير مخوّل إلى الصور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العرض لكل دور، والرحلة في حالة BOARDING، والعزل بين الشركات، وتسجيل كل عرض</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w:t>
            </w:r>
          </w:p>
        </w:tc>
      </w:tr>
      <w:tr>
        <w:trPr>
          <w:cantSplit/>
        </w:trPr>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تسرب الملفات من التخزين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الملف، ومفاتيح في خدمة مفاتيح، وتشفير القرص والنسخ الاحتياطية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w:t>
            </w:r>
          </w:p>
        </w:tc>
      </w:tr>
      <w:tr>
        <w:trPr>
          <w:cantSplit/>
        </w:trPr>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إساءة استعمال من موظف</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متوسط</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صلاحيات بالأدوار، وسجل عرض مختوم في سجل التدقيق، ومراجعة الوصول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 إلى متوسط</w:t>
            </w:r>
          </w:p>
        </w:tc>
      </w:tr>
      <w:tr>
        <w:trPr>
          <w:cantSplit/>
        </w:trPr>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صور القاصرين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يلتقطها رب العائلة لأفراده المرتبطين فقط، ولا يلتقطها غيره</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متوسط: يلزم نص قانوني لموافقة الولي</w:t>
            </w:r>
          </w:p>
        </w:tc>
      </w:tr>
      <w:tr>
        <w:trPr>
          <w:cantSplit/>
        </w:trPr>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استبدال الصورة احتيالاً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التغيير بطلب بدليل مقبول لهذا الشخص الآن، يقرره شخص غير صاحب الطلب</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w:t>
            </w:r>
          </w:p>
        </w:tc>
      </w:tr>
      <w:tr>
        <w:trPr>
          <w:cantSplit/>
        </w:trPr>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توسيع الاستعمال لغرض آخر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الميزة مغلقة حتى أساسها القانوني، وكل تغيير في الإعدادات يمر بمراحل الموافقة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w:t>
            </w:r>
          </w:p>
        </w:tc>
      </w:tr>
      <w:tr>
        <w:trPr>
          <w:cantSplit/>
        </w:trPr>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الاحتفاظ أطول من الحاجة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متوسط</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المحو مع الشخص</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متوسط: لم تُقرر مدة لصور الحسابات المغلقة غير المحذوفة</w:t>
            </w:r>
          </w:p>
        </w:tc>
      </w:tr>
      <w:tr>
        <w:trPr>
          <w:cantSplit/>
        </w:trPr>
        <w:tc>
          <w:tcPr>
            <w:tcW w:type="dxa" w:w="231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عرض الصورة عند كاونتر المحطة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 مغلق؛ تفعيله بتغيير يمر بالمراحل ويسجّل رقم المستند القانوني، وإلا رفضته القاعدة (LEGAL_BASIS_REQUIRED)؛ وما دام مغلقاً يجيب مسار الكاونتر برفض العرض</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منخفض</w:t>
            </w:r>
          </w:p>
        </w:tc>
      </w:tr>
      <w:tr>
        <w:trPr>
          <w:cantSplit/>
        </w:trPr>
        <w:tc>
          <w:tcPr>
            <w:tcW w:type="dxa" w:w="231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نقل البيانات إلى مزود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عالٍ</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مزود مربوطاً؛ والاتصال الخارجي عبر وكيل بقائمة مسموح بها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يُقيَّم عند اختيار المزود مع اتفاقية معالجة</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ما يلزم قبل تشغيل الميزة</w:t>
      </w:r>
    </w:p>
    <w:p>
      <w:pPr>
        <w:pStyle w:val="ListParagraph"/>
        <w:numPr>
          <w:ilvl w:val="0"/>
          <w:numId w:val="2"/>
        </w:numPr>
        <w:bidi/>
        <w:spacing w:after="80" w:line="290"/>
        <w:jc w:val="right"/>
      </w:pPr>
      <w:r>
        <w:rPr>
          <w:rFonts w:ascii="Arial" w:cs="Arial" w:eastAsia="Arial" w:hAnsi="Arial"/>
          <w:color w:val="0F1B2D"/>
          <w:sz w:val="21"/>
          <w:szCs w:val="21"/>
          <w:rtl/>
        </w:rPr>
        <w:t xml:space="preserve">المستند القانوني ورقمه، ونطاقه: الأسواق، ونطاق الرحلات، وفئات المسافرين.</w:t>
      </w:r>
    </w:p>
    <w:p>
      <w:pPr>
        <w:pStyle w:val="ListParagraph"/>
        <w:numPr>
          <w:ilvl w:val="0"/>
          <w:numId w:val="2"/>
        </w:numPr>
        <w:bidi/>
        <w:spacing w:after="80" w:line="290"/>
        <w:jc w:val="right"/>
      </w:pPr>
      <w:r>
        <w:rPr>
          <w:rFonts w:ascii="Arial" w:cs="Arial" w:eastAsia="Arial" w:hAnsi="Arial"/>
          <w:color w:val="0F1B2D"/>
          <w:sz w:val="21"/>
          <w:szCs w:val="21"/>
          <w:rtl/>
        </w:rPr>
        <w:t xml:space="preserve">لعرض الصورة عند كاونتر المحطة: موافقة قانونية وتشريعية مستقلة تذكر هذا الاستعمال، وتدريب موظفي الكاونتر عليه قبل تفعيله.</w:t>
      </w:r>
    </w:p>
    <w:p>
      <w:pPr>
        <w:pStyle w:val="ListParagraph"/>
        <w:numPr>
          <w:ilvl w:val="0"/>
          <w:numId w:val="2"/>
        </w:numPr>
        <w:bidi/>
        <w:spacing w:after="80" w:line="290"/>
        <w:jc w:val="right"/>
      </w:pPr>
      <w:r>
        <w:rPr>
          <w:rFonts w:ascii="Arial" w:cs="Arial" w:eastAsia="Arial" w:hAnsi="Arial"/>
          <w:color w:val="0F1B2D"/>
          <w:sz w:val="21"/>
          <w:szCs w:val="21"/>
          <w:rtl/>
        </w:rPr>
        <w:t xml:space="preserve">تحديث سياسة الخصوصية وإشعار المسافر عند الالتقاط.</w:t>
      </w:r>
    </w:p>
    <w:p>
      <w:pPr>
        <w:pStyle w:val="ListParagraph"/>
        <w:numPr>
          <w:ilvl w:val="0"/>
          <w:numId w:val="2"/>
        </w:numPr>
        <w:bidi/>
        <w:spacing w:after="80" w:line="290"/>
        <w:jc w:val="right"/>
      </w:pPr>
      <w:r>
        <w:rPr>
          <w:rFonts w:ascii="Arial" w:cs="Arial" w:eastAsia="Arial" w:hAnsi="Arial"/>
          <w:color w:val="0F1B2D"/>
          <w:sz w:val="21"/>
          <w:szCs w:val="21"/>
          <w:rtl/>
        </w:rPr>
        <w:t xml:space="preserve">قرار في مدة الاحتفاظ بصور الحسابات المغلقة، وفي موافقة الولي على صور القاصرين.</w:t>
      </w:r>
    </w:p>
    <w:p>
      <w:pPr>
        <w:pStyle w:val="ListParagraph"/>
        <w:numPr>
          <w:ilvl w:val="0"/>
          <w:numId w:val="2"/>
        </w:numPr>
        <w:bidi/>
        <w:spacing w:after="80" w:line="290"/>
        <w:jc w:val="right"/>
      </w:pPr>
      <w:r>
        <w:rPr>
          <w:rFonts w:ascii="Arial" w:cs="Arial" w:eastAsia="Arial" w:hAnsi="Arial"/>
          <w:color w:val="0F1B2D"/>
          <w:sz w:val="21"/>
          <w:szCs w:val="21"/>
          <w:rtl/>
        </w:rPr>
        <w:t xml:space="preserve">تدريب موظفي الصعود على التحقق البصري وعلى عدم نسخ الصور.</w:t>
      </w:r>
    </w:p>
    <w:p>
      <w:pPr>
        <w:pStyle w:val="ListParagraph"/>
        <w:numPr>
          <w:ilvl w:val="0"/>
          <w:numId w:val="2"/>
        </w:numPr>
        <w:bidi/>
        <w:spacing w:after="80" w:line="290"/>
        <w:jc w:val="right"/>
      </w:pPr>
      <w:r>
        <w:rPr>
          <w:rFonts w:ascii="Arial" w:cs="Arial" w:eastAsia="Arial" w:hAnsi="Arial"/>
          <w:color w:val="0F1B2D"/>
          <w:sz w:val="21"/>
          <w:szCs w:val="21"/>
          <w:rtl/>
        </w:rPr>
        <w:t xml:space="preserve">شمول الميزة في اختبار الاختراق، ومراجعة إعداد العرض قبل التشغيل.</w:t>
      </w:r>
    </w:p>
    <w:p>
      <w:pPr>
        <w:pStyle w:val="ListParagraph"/>
        <w:numPr>
          <w:ilvl w:val="0"/>
          <w:numId w:val="2"/>
        </w:numPr>
        <w:bidi/>
        <w:spacing w:after="80" w:line="290"/>
        <w:jc w:val="right"/>
      </w:pPr>
      <w:r>
        <w:rPr>
          <w:rFonts w:ascii="Arial" w:cs="Arial" w:eastAsia="Arial" w:hAnsi="Arial"/>
          <w:color w:val="0F1B2D"/>
          <w:sz w:val="21"/>
          <w:szCs w:val="21"/>
          <w:rtl/>
        </w:rPr>
        <w:t xml:space="preserve">قبل ربط مزود للتحقق من الهوية: تقييم أثر مكمّل واتفاقية معالجة بيانات.</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الاعتماد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1928"/>
        <w:gridCol w:w="1542"/>
        <w:gridCol w:w="1542"/>
      </w:tblGrid>
      <w:tr>
        <w:trPr>
          <w:tblHeader/>
        </w:trPr>
        <w:tc>
          <w:tcPr>
            <w:tcW w:type="dxa" w:w="2506"/>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الدور</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154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التوقيع</w:t>
            </w:r>
          </w:p>
        </w:tc>
        <w:tc>
          <w:tcPr>
            <w:tcW w:type="dxa" w:w="154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التاريخ</w:t>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حماية البيانات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506"/>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مالك المنصة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r>
        <w:trPr>
          <w:cantSplit/>
        </w:trPr>
        <w:tc>
          <w:tcPr>
            <w:tcW w:type="dxa" w:w="2506"/>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مسؤول الأمن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تقييم أثر حماية البيانات لصورة الصعود ·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تقييم أثر حماية البيانات لصورة الصعود · 0.2</dc:title>
  <dc:creator>Masslak</dc:creator>
  <cp:lastModifiedBy>Un-named</cp:lastModifiedBy>
  <cp:revision>1</cp:revision>
  <dcterms:created xsi:type="dcterms:W3CDTF">2026-10-13T11:18:56.595Z</dcterms:created>
  <dcterms:modified xsi:type="dcterms:W3CDTF">2026-10-13T11:18:56.595Z</dcterms:modified>
</cp:coreProperties>
</file>

<file path=docProps/custom.xml><?xml version="1.0" encoding="utf-8"?>
<Properties xmlns="http://schemas.openxmlformats.org/officeDocument/2006/custom-properties" xmlns:vt="http://schemas.openxmlformats.org/officeDocument/2006/docPropsVTypes"/>
</file>