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2026-10-22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6">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20">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4">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4">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3">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501">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4">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docs/20-database-design.md:89 و199-229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db/model/10-platform.model:332-345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في القاعدة نفسها (2026-10-21، ADR 0032، db/static/054_key_guard.sql):</w:t>
      </w:r>
      <w:r>
        <w:rPr>
          <w:rFonts w:ascii="Arial" w:cs="Arial" w:eastAsia="Arial" w:hAnsi="Arial"/>
          <w:b w:val="false"/>
          <w:bCs w:val="false"/>
          <w:sz w:val="21"/>
          <w:szCs w:val="21"/>
          <w:rtl/>
        </w:rPr>
        <w:t xml:space="preserve"> قادح لكل جدول يشير إلى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أي 9 أعمدة مفاتيح في 6 جداول، يُبنى من </w:t>
      </w:r>
      <w:r>
        <w:rPr>
          <w:rFonts w:ascii="Courier New" w:cs="Courier New" w:eastAsia="Courier New" w:hAnsi="Courier New"/>
          <w:b w:val="false"/>
          <w:bCs w:val="false"/>
          <w:color w:val="1F2937"/>
          <w:sz w:val="18"/>
          <w:szCs w:val="18"/>
          <w:shd w:fill="F1F3F5" w:color="auto" w:val="clear"/>
          <w:rtl/>
        </w:rPr>
        <w:t xml:space="preserve">‎sys.foreign_keys‎</w:t>
      </w:r>
      <w:r>
        <w:rPr>
          <w:rFonts w:ascii="Arial" w:cs="Arial" w:eastAsia="Arial" w:hAnsi="Arial"/>
          <w:b w:val="false"/>
          <w:bCs w:val="false"/>
          <w:sz w:val="21"/>
          <w:szCs w:val="21"/>
          <w:rtl/>
        </w:rPr>
        <w:t xml:space="preserve">. فلا يُكتب صف جديد، ولا يُنقل صف، إلا على مفتاح ACTIVE (50098). وتسير حالة المفتاح إلى الأمام فقط، والحالتان RETIRED وREVOKED نهائيتان. ولا يتقاعد مفتاح ما دام صف يشير إليه. أما الإلغاء فلا يُؤخَّر أبدًا، والصفوف التي بقيت على مفتاح ملغى تعرضها </w:t>
      </w:r>
      <w:r>
        <w:rPr>
          <w:rFonts w:ascii="Courier New" w:cs="Courier New" w:eastAsia="Courier New" w:hAnsi="Courier New"/>
          <w:b w:val="false"/>
          <w:bCs w:val="false"/>
          <w:color w:val="1F2937"/>
          <w:sz w:val="18"/>
          <w:szCs w:val="18"/>
          <w:shd w:fill="F1F3F5" w:color="auto" w:val="clear"/>
          <w:rtl/>
        </w:rPr>
        <w:t xml:space="preserve">‎sec.v_KeyReferences‎</w:t>
      </w:r>
      <w:r>
        <w:rPr>
          <w:rFonts w:ascii="Arial" w:cs="Arial" w:eastAsia="Arial" w:hAnsi="Arial"/>
          <w:b w:val="false"/>
          <w:bCs w:val="false"/>
          <w:sz w:val="21"/>
          <w:szCs w:val="21"/>
          <w:rtl/>
        </w:rPr>
        <w:t xml:space="preserve"> لمهمة التدوير. الاختبارات KG1 إلى KG6.</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«resolved» (docs/review/design-review-2026-10-11.json:229-231)، لأن ربط الغرض منفّذ بعد DR-02 (docs/review/design-review-2026-10-11.json:28-29، db/model/12-institutions-accounts-catalogs.model:393-396). وكان يبقى منه منع الإشارة إلى مفتاح RETIRED أو REVOKED فقط، وقد أُغلق بـ ADR 0032 (2026-10-21). ويبقى التشفير نفسه في طبقة التطبيق غير المبنية.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(db/generated/tsql/001_tables.sql:547)،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(db/model/15-workflow-notifications.model:282) بلا عمود مفتاح، خلافًا لقاعدة «عمود المفتاح في الصف يحدد الإصدار» (docs/20-database-design.md:227).</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docs/20-database-design.md:210 وdb/model/10-platform.model:75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Arial" w:cs="Arial" w:eastAsia="Arial" w:hAnsi="Arial"/>
          <w:b/>
          <w:bCs/>
          <w:sz w:val="21"/>
          <w:szCs w:val="21"/>
          <w:rtl/>
        </w:rPr>
        <w:t xml:space="preserve">عبر نفق SSH بلا </w:t>
      </w:r>
      <w:r>
        <w:rPr>
          <w:rFonts w:ascii="Courier New" w:cs="Courier New" w:eastAsia="Courier New" w:hAnsi="Courier New"/>
          <w:b/>
          <w:bCs/>
          <w:color w:val="1F2937"/>
          <w:sz w:val="18"/>
          <w:szCs w:val="18"/>
          <w:shd w:fill="F1F3F5" w:color="auto" w:val="clear"/>
          <w:rtl/>
        </w:rPr>
        <w:t xml:space="preserve">‎-C‎</w:t>
      </w:r>
      <w:r>
        <w:rPr>
          <w:rFonts w:ascii="Arial" w:cs="Arial" w:eastAsia="Arial" w:hAnsi="Arial"/>
          <w:b/>
          <w:bCs/>
          <w:sz w:val="21"/>
          <w:szCs w:val="21"/>
          <w:rtl/>
        </w:rPr>
        <w:t xml:space="preserve"> (المراجعة الداخلية v6، D11):</w:t>
      </w:r>
      <w:r>
        <w:rPr>
          <w:rFonts w:ascii="Arial" w:cs="Arial" w:eastAsia="Arial" w:hAnsi="Arial"/>
          <w:b w:val="false"/>
          <w:bCs w:val="false"/>
          <w:sz w:val="21"/>
          <w:szCs w:val="21"/>
          <w:rtl/>
        </w:rPr>
        <w:t xml:space="preserve"> الشهادة صادرة لاسم خادم القاعدة (مثل </w:t>
      </w:r>
      <w:r>
        <w:rPr>
          <w:rFonts w:ascii="Courier New" w:cs="Courier New" w:eastAsia="Courier New" w:hAnsi="Courier New"/>
          <w:b w:val="false"/>
          <w:bCs w:val="false"/>
          <w:color w:val="1F2937"/>
          <w:sz w:val="18"/>
          <w:szCs w:val="18"/>
          <w:shd w:fill="F1F3F5" w:color="auto" w:val="clear"/>
          <w:rtl/>
        </w:rPr>
        <w:t xml:space="preserve">‎db.internal.bankfas.com‎</w:t>
      </w:r>
      <w:r>
        <w:rPr>
          <w:rFonts w:ascii="Arial" w:cs="Arial" w:eastAsia="Arial" w:hAnsi="Arial"/>
          <w:b w:val="false"/>
          <w:bCs w:val="false"/>
          <w:sz w:val="21"/>
          <w:szCs w:val="21"/>
          <w:rtl/>
        </w:rPr>
        <w:t xml:space="preserve">)، والنفق يصل إلى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فيفشل التحقق من الاسم. وهذا ما يدفع المشغّل إلى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والحل ألا يُتصل بـ </w:t>
      </w:r>
      <w:r>
        <w:rPr>
          <w:rFonts w:ascii="Courier New" w:cs="Courier New" w:eastAsia="Courier New" w:hAnsi="Courier New"/>
          <w:b w:val="false"/>
          <w:bCs w:val="false"/>
          <w:color w:val="1F2937"/>
          <w:sz w:val="18"/>
          <w:szCs w:val="18"/>
          <w:shd w:fill="F1F3F5" w:color="auto" w:val="clear"/>
          <w:rtl/>
        </w:rPr>
        <w:t xml:space="preserve">‎localhost‎</w:t>
      </w:r>
      <w:r>
        <w:rPr>
          <w:rFonts w:ascii="Arial" w:cs="Arial" w:eastAsia="Arial" w:hAnsi="Arial"/>
          <w:b w:val="false"/>
          <w:bCs w:val="false"/>
          <w:sz w:val="21"/>
          <w:szCs w:val="21"/>
          <w:rtl/>
        </w:rPr>
        <w:t xml:space="preserve">: يُضاف في </w:t>
      </w:r>
      <w:r>
        <w:rPr>
          <w:rFonts w:ascii="Courier New" w:cs="Courier New" w:eastAsia="Courier New" w:hAnsi="Courier New"/>
          <w:b w:val="false"/>
          <w:bCs w:val="false"/>
          <w:color w:val="1F2937"/>
          <w:sz w:val="18"/>
          <w:szCs w:val="18"/>
          <w:shd w:fill="F1F3F5" w:color="auto" w:val="clear"/>
          <w:rtl/>
        </w:rPr>
        <w:t xml:space="preserve">‎/etc/hosts‎</w:t>
      </w:r>
      <w:r>
        <w:rPr>
          <w:rFonts w:ascii="Arial" w:cs="Arial" w:eastAsia="Arial" w:hAnsi="Arial"/>
          <w:b w:val="false"/>
          <w:bCs w:val="false"/>
          <w:sz w:val="21"/>
          <w:szCs w:val="21"/>
          <w:rtl/>
        </w:rPr>
        <w:t xml:space="preserve"> على محطة المشغّل سطر </w:t>
      </w:r>
      <w:r>
        <w:rPr>
          <w:rFonts w:ascii="Courier New" w:cs="Courier New" w:eastAsia="Courier New" w:hAnsi="Courier New"/>
          <w:b w:val="false"/>
          <w:bCs w:val="false"/>
          <w:color w:val="1F2937"/>
          <w:sz w:val="18"/>
          <w:szCs w:val="18"/>
          <w:shd w:fill="F1F3F5" w:color="auto" w:val="clear"/>
          <w:rtl/>
        </w:rPr>
        <w:t xml:space="preserve">‎127.0.0.1 db.internal.bankfas.com‎</w:t>
      </w:r>
      <w:r>
        <w:rPr>
          <w:rFonts w:ascii="Arial" w:cs="Arial" w:eastAsia="Arial" w:hAnsi="Arial"/>
          <w:b w:val="false"/>
          <w:bCs w:val="false"/>
          <w:sz w:val="21"/>
          <w:szCs w:val="21"/>
          <w:rtl/>
        </w:rPr>
        <w:t xml:space="preserve">، ويُفتح النفق </w:t>
      </w:r>
      <w:r>
        <w:rPr>
          <w:rFonts w:ascii="Courier New" w:cs="Courier New" w:eastAsia="Courier New" w:hAnsi="Courier New"/>
          <w:b w:val="false"/>
          <w:bCs w:val="false"/>
          <w:color w:val="1F2937"/>
          <w:sz w:val="18"/>
          <w:szCs w:val="18"/>
          <w:shd w:fill="F1F3F5" w:color="auto" w:val="clear"/>
          <w:rtl/>
        </w:rPr>
        <w:t xml:space="preserve">‎ssh -L 14330:127.0.0.1:1433 ...‎</w:t>
      </w:r>
      <w:r>
        <w:rPr>
          <w:rFonts w:ascii="Arial" w:cs="Arial" w:eastAsia="Arial" w:hAnsi="Arial"/>
          <w:b w:val="false"/>
          <w:bCs w:val="false"/>
          <w:sz w:val="21"/>
          <w:szCs w:val="21"/>
          <w:rtl/>
        </w:rPr>
        <w:t xml:space="preserve">، ويُتصل بـ </w:t>
      </w:r>
      <w:r>
        <w:rPr>
          <w:rFonts w:ascii="Courier New" w:cs="Courier New" w:eastAsia="Courier New" w:hAnsi="Courier New"/>
          <w:b w:val="false"/>
          <w:bCs w:val="false"/>
          <w:color w:val="1F2937"/>
          <w:sz w:val="18"/>
          <w:szCs w:val="18"/>
          <w:shd w:fill="F1F3F5" w:color="auto" w:val="clear"/>
          <w:rtl/>
        </w:rPr>
        <w:t xml:space="preserve">‎SQL_SERVER=db.internal.bankfas.com,14330‎</w:t>
      </w:r>
      <w:r>
        <w:rPr>
          <w:rFonts w:ascii="Arial" w:cs="Arial" w:eastAsia="Arial" w:hAnsi="Arial"/>
          <w:b w:val="false"/>
          <w:bCs w:val="false"/>
          <w:sz w:val="21"/>
          <w:szCs w:val="21"/>
          <w:rtl/>
        </w:rPr>
        <w:t xml:space="preserve">. فيطابق الاسم الشهادة، وتبقى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وأدوات CI ترفض فوق ذلك حذف قاعدة فيها مشتركون حقيقيون، حتى لو وصلت إلى خادم إنتاج عبر النفق (</w:t>
      </w:r>
      <w:r>
        <w:rPr>
          <w:rFonts w:ascii="Courier New" w:cs="Courier New" w:eastAsia="Courier New" w:hAnsi="Courier New"/>
          <w:b w:val="false"/>
          <w:bCs w:val="false"/>
          <w:color w:val="1F2937"/>
          <w:sz w:val="18"/>
          <w:szCs w:val="18"/>
          <w:shd w:fill="F1F3F5" w:color="auto" w:val="clear"/>
          <w:rtl/>
        </w:rPr>
        <w:t xml:space="preserve">‎tools/ci/ci_guard.sh‎</w:t>
      </w:r>
      <w:r>
        <w:rPr>
          <w:rFonts w:ascii="Arial" w:cs="Arial" w:eastAsia="Arial" w:hAnsi="Arial"/>
          <w:b w:val="false"/>
          <w:bCs w:val="false"/>
          <w:sz w:val="21"/>
          <w:szCs w:val="21"/>
          <w:rtl/>
        </w:rPr>
        <w:t xml:space="preserve">، 50991).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614"/>
        <w:gridCol w:w="1434"/>
        <w:gridCol w:w="5023"/>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11ب. رؤوس سلاسل التدقيق المستعادة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دقائق</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المستعادة تنتهي قبل آخر المراسي المحفوظة خارجها، فيفشل الفحص (ANCHOR_MISSING). </w:t>
            </w:r>
            <w:r>
              <w:rPr>
                <w:rFonts w:ascii="Courier New" w:cs="Courier New" w:eastAsia="Courier New" w:hAnsi="Courier New"/>
                <w:b w:val="false"/>
                <w:bCs w:val="false"/>
                <w:color w:val="1F2937"/>
                <w:sz w:val="16"/>
                <w:szCs w:val="16"/>
                <w:shd w:fill="F1F3F5" w:color="auto" w:val="clear"/>
                <w:rtl/>
              </w:rPr>
              <w:t xml:space="preserve">‎tools/deploy/audit_anchor.sh restored &lt;المخزن&gt; &lt;مرجع التغيير&gt;‎</w:t>
            </w:r>
            <w:r>
              <w:rPr>
                <w:rFonts w:ascii="Arial" w:cs="Arial" w:eastAsia="Arial" w:hAnsi="Arial"/>
                <w:b w:val="false"/>
                <w:bCs w:val="false"/>
                <w:sz w:val="18"/>
                <w:szCs w:val="18"/>
                <w:rtl/>
              </w:rPr>
              <w:t xml:space="preserve"> يفحص كل سلسلة فحصًا كاملًا مقابل المراسي حتى رأسها المستعاد، ويكتب ملف </w:t>
            </w:r>
            <w:r>
              <w:rPr>
                <w:rFonts w:ascii="Courier New" w:cs="Courier New" w:eastAsia="Courier New" w:hAnsi="Courier New"/>
                <w:b w:val="false"/>
                <w:bCs w:val="false"/>
                <w:color w:val="1F2937"/>
                <w:sz w:val="16"/>
                <w:szCs w:val="16"/>
                <w:shd w:fill="F1F3F5" w:color="auto" w:val="clear"/>
                <w:rtl/>
              </w:rPr>
              <w:t xml:space="preserve">‎restore-...‎</w:t>
            </w:r>
            <w:r>
              <w:rPr>
                <w:rFonts w:ascii="Arial" w:cs="Arial" w:eastAsia="Arial" w:hAnsi="Arial"/>
                <w:b w:val="false"/>
                <w:bCs w:val="false"/>
                <w:sz w:val="18"/>
                <w:szCs w:val="18"/>
                <w:rtl/>
              </w:rPr>
              <w:t xml:space="preserve"> بالرؤوس ومرجع التغيير؛ والمراسي بعدها لا تُحتسب. تُراجَع ملفات الاستعادة في المراجعة الشهرية (DOC-S12 §5.3؛ ADR 0033؛ المراجعة الداخلية v6، D13؛ AA7)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34 خطوة (0 إلى 24 و4b و19b إلى 19d و22b إلى 22e،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241"/>
        <w:gridCol w:w="5638"/>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tools/ci/db_ci.sh:45-56</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tools/ci/db_ci.sh:58-59</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 وبذرة الصلاحيات، والحزمة CORE.ROLES و057، وبذرة المنهجية الائتمانية وجداول docs/35، وحالات محرك التقييم</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tools/ci/db_ci.sh:61-100</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R1-R11،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والحزمة NTF.BASE، وحالات الضغط الائتماني، ولا ثقة بالشهادة افتراضيًا ولا أوامر sqlcmd خطرة، وصورة CI مقابل versions.json</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tools/ci/db_ci.sh:102-147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 بحساب bankfas_migrator</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tools/ci/db_ci.sh:149-189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العالمي كامل ويُعاد بلا تغيير، والنص العربي كما كُتب</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tools/ci/db_ci.sh:191-223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 والسكربتات الثابتة بحساب المراقبة</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tools/ci/db_ci.sh:225-227</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tools/ci/db_ci.sh:229-245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tools/ci/db_ci.sh:246-264</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(23)، المشغّل والدعم (14)، ربط المهام (7، J1 إلى J7)، تهيئة المشترك (7)، الترقيم (8، ومع اتصالات متزامنة 2)، تاريخ KYC (4)، البيانات المرجعية (8)، التدقيق (7)، التصدير (7، X1 إلى X7)، دخولات الخدمة (6)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tools/ci/db_ci.sh:265-467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 tools/ci/db_ci.sh:468-491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FS1 إلى FS11 (11)</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db/tests/financial_statements_tests.sql؛ tools/ci/db_ci.sh:492-511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 إلى CA31 (31)</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db/tests/credit_assessment_tests.sql؛ tools/ci/db_ci.sh:512-541</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CE وCV (148)</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db/tests/credit_engine_cases.sql؛ tools/ci/db_ci.sh:542-556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 tools/ci/db_ci.sh:557-619</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22b</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 إلى KG7 وAC1 إلى AC10 (17)</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db/tests/integrity_tests.sql؛ tools/ci/db_ci.sh:622-642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22c</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مراسي سلسلة التدقيق خارج القاعدة، والمخزن هو الحَكَم: AA1 إلى AA7</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tools/ci/audit_anchor_check.sh؛ tools/ci/db_ci.sh:643-662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22d</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المتزايدة بحساب النشر داخل نافذة: MG1 إلى MG12</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 tools/ci/db_ci.sh:663-685</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22e</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الحزمة CORE.ROLES: CR1 إلى CR9</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db/tests/core_roles_tests.sql؛ tools/ci/db_ci.sh:686-705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22f</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الفاعلون في السجلات المالية وما تجمّده الفترة المغلقة: FC1 إلى FC14</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db/tests/finance_controls_tests.sql؛ tools/ci/db_ci.sh:706-726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متروك (يُعدّ قبل الحذف)، ولا قيد غير موثوق ولا مشغّل معطّل ولا مرشح صفوف معطّل ولا مشترك متروك</w:t>
            </w:r>
          </w:p>
        </w:tc>
        <w:tc>
          <w:tcPr>
            <w:tcW w:type="dxa" w:w="56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tools/ci/db_ci.sh:727-742</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18 نتيجة، والسلسلة سليمة بعد الكتّاب المتزامنين (ADR 0036)</w:t>
            </w:r>
          </w:p>
        </w:tc>
        <w:tc>
          <w:tcPr>
            <w:tcW w:type="dxa" w:w="56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tools/perf/run_perf.sh؛ tools/ci/db_ci.sh:701-718</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494"/>
        <w:gridCol w:w="3437"/>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R1-R11 للمنح والتشفير (السطور 4-16)</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(tools/ci/db_ci.sh:104)</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(tools/ci/db_ci.sh:105)</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مسدودة: يعمل في الخطوة 3 (tools/ci/db_ci.sh:105، DQ-B01-3).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(docs/20-database-design.md:271،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docs/20-database-design.md:271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2"/>
        <w:bidi/>
      </w:pPr>
      <w:bookmarkStart w:name="_sec404" w:id="404"/>
      <w:r>
        <w:rPr>
          <w:rFonts w:ascii="Arial" w:cs="Arial" w:eastAsia="Arial" w:hAnsi="Arial"/>
          <w:b/>
          <w:bCs/>
          <w:color w:val="2B5C8A"/>
          <w:sz w:val="26"/>
          <w:szCs w:val="26"/>
          <w:rtl/>
        </w:rPr>
        <w:t xml:space="preserve">9. ملحق S1-ب (2026-10-22)</w:t>
      </w:r>
      <w:bookmarkEnd w:id="404"/>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2"/>
        <w:bidi/>
      </w:pPr>
      <w:bookmarkStart w:name="_sec405" w:id="405"/>
      <w:r>
        <w:rPr>
          <w:rFonts w:ascii="Arial" w:cs="Arial" w:eastAsia="Arial" w:hAnsi="Arial"/>
          <w:b/>
          <w:bCs/>
          <w:color w:val="2B5C8A"/>
          <w:sz w:val="26"/>
          <w:szCs w:val="26"/>
          <w:rtl/>
        </w:rPr>
        <w:t xml:space="preserve">10. ملحق S2 (2026-10-22)</w:t>
      </w:r>
      <w:bookmarkEnd w:id="405"/>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ويُعامَل AC-FAC-11 وAC-FAC-12 معياري خروج إلزاميين حين يعتمد المالك OQ-1 وOQ-17.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406" w:id="406"/>
      <w:r>
        <w:rPr>
          <w:rFonts w:ascii="Arial" w:cs="Arial" w:eastAsia="Arial" w:hAnsi="Arial"/>
          <w:b/>
          <w:bCs/>
          <w:color w:val="1F3A5F"/>
          <w:sz w:val="32"/>
          <w:szCs w:val="32"/>
          <w:rtl/>
        </w:rPr>
        <w:t xml:space="preserve">DOC-B03 — مواصفة المتطلبات غير الوظيفية</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1. الغرض والنطاق</w:t>
      </w:r>
      <w:bookmarkEnd w:id="407"/>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8" w:id="408"/>
      <w:r>
        <w:rPr>
          <w:rFonts w:ascii="Arial" w:cs="Arial" w:eastAsia="Arial" w:hAnsi="Arial"/>
          <w:b/>
          <w:bCs/>
          <w:color w:val="2B5C8A"/>
          <w:sz w:val="26"/>
          <w:szCs w:val="26"/>
          <w:rtl/>
        </w:rPr>
        <w:t xml:space="preserve">2. الأداء والتزامن (NFR-PERF)</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pStyle w:val="ListParagraph"/>
        <w:numPr>
          <w:ilvl w:val="0"/>
          <w:numId w:val="2"/>
        </w:numPr>
        <w:bidi/>
        <w:spacing w:after="70" w:before="0" w:line="300"/>
      </w:pPr>
      <w:r>
        <w:rPr>
          <w:rFonts w:ascii="Arial" w:cs="Arial" w:eastAsia="Arial" w:hAnsi="Arial"/>
          <w:b/>
          <w:bCs/>
          <w:sz w:val="21"/>
          <w:szCs w:val="21"/>
          <w:rtl/>
        </w:rPr>
        <w:t xml:space="preserve">قياس أول على القاعدة وحدها (2026-10-21، ADR 0036، docs/40):</w:t>
      </w:r>
    </w:p>
    <w:p>
      <w:pPr>
        <w:pStyle w:val="ListParagraph"/>
        <w:numPr>
          <w:ilvl w:val="1"/>
          <w:numId w:val="2"/>
        </w:numPr>
        <w:bidi/>
        <w:spacing w:after="70" w:before="0" w:line="300"/>
      </w:pPr>
      <w:r>
        <w:rPr>
          <w:rFonts w:ascii="Arial" w:cs="Arial" w:eastAsia="Arial" w:hAnsi="Arial"/>
          <w:b w:val="false"/>
          <w:bCs w:val="false"/>
          <w:sz w:val="21"/>
          <w:szCs w:val="21"/>
          <w:rtl/>
        </w:rPr>
        <w:t xml:space="preserve">أداة القياس </w:t>
      </w:r>
      <w:r>
        <w:rPr>
          <w:rFonts w:ascii="Courier New" w:cs="Courier New" w:eastAsia="Courier New" w:hAnsi="Courier New"/>
          <w:b w:val="false"/>
          <w:bCs w:val="false"/>
          <w:color w:val="1F2937"/>
          <w:sz w:val="18"/>
          <w:szCs w:val="18"/>
          <w:shd w:fill="F1F3F5" w:color="auto" w:val="clear"/>
          <w:rtl/>
        </w:rPr>
        <w:t xml:space="preserve">‎tools/perf/run_perf.sh‎</w:t>
      </w:r>
      <w:r>
        <w:rPr>
          <w:rFonts w:ascii="Arial" w:cs="Arial" w:eastAsia="Arial" w:hAnsi="Arial"/>
          <w:b w:val="false"/>
          <w:bCs w:val="false"/>
          <w:sz w:val="21"/>
          <w:szCs w:val="21"/>
          <w:rtl/>
        </w:rPr>
        <w:t xml:space="preserve"> تبني قاعدة جديدة ببيانات اصطناعية. حجمها الافتراضي 300 مشترك، منها ثلاثة بأحجام NFR-SCL-02 على جداول المسارات التي تنفّذها القاعدة.</w:t>
      </w:r>
    </w:p>
    <w:p>
      <w:pPr>
        <w:pStyle w:val="ListParagraph"/>
        <w:numPr>
          <w:ilvl w:val="1"/>
          <w:numId w:val="2"/>
        </w:numPr>
        <w:bidi/>
        <w:spacing w:after="70" w:before="0" w:line="300"/>
      </w:pPr>
      <w:r>
        <w:rPr>
          <w:rFonts w:ascii="Arial" w:cs="Arial" w:eastAsia="Arial" w:hAnsi="Arial"/>
          <w:b w:val="false"/>
          <w:bCs w:val="false"/>
          <w:sz w:val="21"/>
          <w:szCs w:val="21"/>
          <w:rtl/>
        </w:rPr>
        <w:t xml:space="preserve">تقيس ربط الجلسة (NFR-PERF-06)، وما تقرؤه الشاشات، والكتابات، والمهام، ونافذة النشر.</w:t>
      </w:r>
    </w:p>
    <w:p>
      <w:pPr>
        <w:pStyle w:val="ListParagraph"/>
        <w:numPr>
          <w:ilvl w:val="1"/>
          <w:numId w:val="2"/>
        </w:numPr>
        <w:bidi/>
        <w:spacing w:after="70" w:before="0" w:line="300"/>
      </w:pPr>
      <w:r>
        <w:rPr>
          <w:rFonts w:ascii="Arial" w:cs="Arial" w:eastAsia="Arial" w:hAnsi="Arial"/>
          <w:b w:val="false"/>
          <w:bCs w:val="false"/>
          <w:sz w:val="21"/>
          <w:szCs w:val="21"/>
          <w:rtl/>
        </w:rPr>
        <w:t xml:space="preserve">جرى القياس الأول في حاوية بأربعة معالجات و15 غيغابايت، لا في بيئة الإنتاج، فأرقامه دلالية. وتُعاد الأداة نفسها في بيئة DQ-B03-9.</w:t>
      </w:r>
    </w:p>
    <w:p>
      <w:pPr>
        <w:pStyle w:val="ListParagraph"/>
        <w:numPr>
          <w:ilvl w:val="1"/>
          <w:numId w:val="2"/>
        </w:numPr>
        <w:bidi/>
        <w:spacing w:after="70" w:before="0" w:line="300"/>
      </w:pPr>
      <w:r>
        <w:rPr>
          <w:rFonts w:ascii="Arial" w:cs="Arial" w:eastAsia="Arial" w:hAnsi="Arial"/>
          <w:b w:val="false"/>
          <w:bCs w:val="false"/>
          <w:sz w:val="21"/>
          <w:szCs w:val="21"/>
          <w:rtl/>
        </w:rPr>
        <w:t xml:space="preserve">وجزء الخادم من NFR-PERF-01 يقاس مع طبقة الخدمة.</w:t>
      </w:r>
    </w:p>
    <w:p>
      <w:pPr>
        <w:bidi/>
        <w:spacing w:after="60" w:before="0"/>
      </w:pPr>
    </w:p>
    <w:p>
      <w:pPr>
        <w:pStyle w:val="Heading2"/>
        <w:bidi/>
      </w:pPr>
      <w:bookmarkStart w:name="_sec409" w:id="409"/>
      <w:r>
        <w:rPr>
          <w:rFonts w:ascii="Arial" w:cs="Arial" w:eastAsia="Arial" w:hAnsi="Arial"/>
          <w:b/>
          <w:bCs/>
          <w:color w:val="2B5C8A"/>
          <w:sz w:val="26"/>
          <w:szCs w:val="26"/>
          <w:rtl/>
        </w:rPr>
        <w:t xml:space="preserve">3. التوفر (NFR-AVL)</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10" w:id="410"/>
      <w:r>
        <w:rPr>
          <w:rFonts w:ascii="Arial" w:cs="Arial" w:eastAsia="Arial" w:hAnsi="Arial"/>
          <w:b/>
          <w:bCs/>
          <w:color w:val="2B5C8A"/>
          <w:sz w:val="26"/>
          <w:szCs w:val="26"/>
          <w:rtl/>
        </w:rPr>
        <w:t xml:space="preserve">4. التعافي (NFR-REC)</w:t>
      </w:r>
      <w:bookmarkEnd w:id="410"/>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11" w:id="411"/>
      <w:r>
        <w:rPr>
          <w:rFonts w:ascii="Arial" w:cs="Arial" w:eastAsia="Arial" w:hAnsi="Arial"/>
          <w:b/>
          <w:bCs/>
          <w:color w:val="2B5C8A"/>
          <w:sz w:val="26"/>
          <w:szCs w:val="26"/>
          <w:rtl/>
        </w:rPr>
        <w:t xml:space="preserve">5. الأمن (NFR-SEC، ويحل محل DOC-S14)</w:t>
      </w:r>
      <w:bookmarkEnd w:id="411"/>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2" w:id="412"/>
      <w:r>
        <w:rPr>
          <w:rFonts w:ascii="Arial" w:cs="Arial" w:eastAsia="Arial" w:hAnsi="Arial"/>
          <w:b/>
          <w:bCs/>
          <w:color w:val="2B5C8A"/>
          <w:sz w:val="26"/>
          <w:szCs w:val="26"/>
          <w:rtl/>
        </w:rPr>
        <w:t xml:space="preserve">6. قابلية التوسع (NFR-SCL)</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7. إمكانية الوصول (NFR-ACC)</w:t>
      </w:r>
      <w:bookmarkEnd w:id="413"/>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8. التشغيل (NFR-OPS)</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9. اللغة والتوطين (NFR-I18N)</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10. التحقق بحسب الشريحة</w:t>
      </w:r>
      <w:bookmarkEnd w:id="4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7" w:id="417"/>
      <w:r>
        <w:rPr>
          <w:rFonts w:ascii="Arial" w:cs="Arial" w:eastAsia="Arial" w:hAnsi="Arial"/>
          <w:b/>
          <w:bCs/>
          <w:color w:val="2B5C8A"/>
          <w:sz w:val="26"/>
          <w:szCs w:val="26"/>
          <w:rtl/>
        </w:rPr>
        <w:t xml:space="preserve">11. القرارات المطلوبة</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القاعدة من زمن الشاشة في NFR-PERF-01</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200 مللي ثانية في p95 لما تقرؤه الشاشة من القاعدة، أي عُشر الثانيتين، والباقي للخدمة والشبكة والعرض. يستعمله تقرير القياس هدفًا (docs/40)</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قائد قاعدة البيانات</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ميزانية الاستعلامات</w:t>
            </w:r>
          </w:p>
        </w:tc>
      </w:tr>
    </w:tbl>
    <w:p>
      <w:pPr>
        <w:bidi/>
        <w:spacing w:after="120" w:before="0"/>
      </w:pPr>
    </w:p>
    <w:p>
      <w:pPr>
        <w:pStyle w:val="Heading2"/>
        <w:bidi/>
      </w:pPr>
      <w:bookmarkStart w:name="_sec418" w:id="418"/>
      <w:r>
        <w:rPr>
          <w:rFonts w:ascii="Arial" w:cs="Arial" w:eastAsia="Arial" w:hAnsi="Arial"/>
          <w:b/>
          <w:bCs/>
          <w:color w:val="2B5C8A"/>
          <w:sz w:val="26"/>
          <w:szCs w:val="26"/>
          <w:rtl/>
        </w:rPr>
        <w:t xml:space="preserve">12. تعارضات وفجوات في المصادر</w:t>
      </w:r>
      <w:bookmarkEnd w:id="418"/>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(docs/20-database-design.md:271)،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9" w:id="419"/>
      <w:r>
        <w:rPr>
          <w:rFonts w:ascii="Arial" w:cs="Arial" w:eastAsia="Arial" w:hAnsi="Arial"/>
          <w:b/>
          <w:bCs/>
          <w:color w:val="2B5C8A"/>
          <w:sz w:val="26"/>
          <w:szCs w:val="26"/>
          <w:rtl/>
        </w:rPr>
        <w:t xml:space="preserve">13. التتبع</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docs/20-database-design.md:271؛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20" w:id="420"/>
      <w:r>
        <w:rPr>
          <w:rFonts w:ascii="Arial" w:cs="Arial" w:eastAsia="Arial" w:hAnsi="Arial"/>
          <w:b/>
          <w:bCs/>
          <w:color w:val="1F3A5F"/>
          <w:sz w:val="32"/>
          <w:szCs w:val="32"/>
          <w:rtl/>
        </w:rPr>
        <w:t xml:space="preserve">DOC-B04 — عقد الواجهة البرمجية ونموذج الأخطاء</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21" w:id="421"/>
      <w:r>
        <w:rPr>
          <w:rFonts w:ascii="Arial" w:cs="Arial" w:eastAsia="Arial" w:hAnsi="Arial"/>
          <w:b/>
          <w:bCs/>
          <w:color w:val="2B5C8A"/>
          <w:sz w:val="26"/>
          <w:szCs w:val="26"/>
          <w:rtl/>
        </w:rPr>
        <w:t xml:space="preserve">1. الغرض والنطاق</w:t>
      </w:r>
      <w:bookmarkEnd w:id="421"/>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2" w:id="422"/>
      <w:r>
        <w:rPr>
          <w:rFonts w:ascii="Arial" w:cs="Arial" w:eastAsia="Arial" w:hAnsi="Arial"/>
          <w:b/>
          <w:bCs/>
          <w:color w:val="2B5C8A"/>
          <w:sz w:val="26"/>
          <w:szCs w:val="26"/>
          <w:rtl/>
        </w:rPr>
        <w:t xml:space="preserve">2. ما يوجد اليوم</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3" w:id="423"/>
      <w:r>
        <w:rPr>
          <w:rFonts w:ascii="Arial" w:cs="Arial" w:eastAsia="Arial" w:hAnsi="Arial"/>
          <w:b/>
          <w:bCs/>
          <w:color w:val="2B5C8A"/>
          <w:sz w:val="26"/>
          <w:szCs w:val="26"/>
          <w:rtl/>
        </w:rPr>
        <w:t xml:space="preserve">3. المبادئ العامة</w:t>
      </w:r>
      <w:bookmarkEnd w:id="423"/>
    </w:p>
    <w:p>
      <w:pPr>
        <w:pStyle w:val="Heading3"/>
        <w:bidi/>
      </w:pPr>
      <w:bookmarkStart w:name="_sec424" w:id="424"/>
      <w:r>
        <w:rPr>
          <w:rFonts w:ascii="Arial" w:cs="Arial" w:eastAsia="Arial" w:hAnsi="Arial"/>
          <w:b/>
          <w:bCs/>
          <w:color w:val="2B5C8A"/>
          <w:sz w:val="23"/>
          <w:szCs w:val="23"/>
          <w:rtl/>
        </w:rPr>
        <w:t xml:space="preserve">3.1 العناوين والإصدار</w:t>
      </w:r>
      <w:bookmarkEnd w:id="4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5" w:id="425"/>
      <w:r>
        <w:rPr>
          <w:rFonts w:ascii="Arial" w:cs="Arial" w:eastAsia="Arial" w:hAnsi="Arial"/>
          <w:b/>
          <w:bCs/>
          <w:color w:val="2B5C8A"/>
          <w:sz w:val="23"/>
          <w:szCs w:val="23"/>
          <w:rtl/>
        </w:rPr>
        <w:t xml:space="preserve">3.2 تسمية الموارد وشكل البيانات</w:t>
      </w:r>
      <w:bookmarkEnd w:id="425"/>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6" w:id="426"/>
      <w:r>
        <w:rPr>
          <w:rFonts w:ascii="Arial" w:cs="Arial" w:eastAsia="Arial" w:hAnsi="Arial"/>
          <w:b/>
          <w:bCs/>
          <w:color w:val="2B5C8A"/>
          <w:sz w:val="23"/>
          <w:szCs w:val="23"/>
          <w:rtl/>
        </w:rPr>
        <w:t xml:space="preserve">3.3 الارتباط والتتبع</w:t>
      </w:r>
      <w:bookmarkEnd w:id="426"/>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7" w:id="427"/>
      <w:r>
        <w:rPr>
          <w:rFonts w:ascii="Arial" w:cs="Arial" w:eastAsia="Arial" w:hAnsi="Arial"/>
          <w:b/>
          <w:bCs/>
          <w:color w:val="2B5C8A"/>
          <w:sz w:val="26"/>
          <w:szCs w:val="26"/>
          <w:rtl/>
        </w:rPr>
        <w:t xml:space="preserve">4. المعرّفات العامة والمفاتيح الداخلية</w:t>
      </w:r>
      <w:bookmarkEnd w:id="427"/>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8" w:id="428"/>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9" w:id="429"/>
      <w:r>
        <w:rPr>
          <w:rFonts w:ascii="Arial" w:cs="Arial" w:eastAsia="Arial" w:hAnsi="Arial"/>
          <w:b/>
          <w:bCs/>
          <w:color w:val="2B5C8A"/>
          <w:sz w:val="26"/>
          <w:szCs w:val="26"/>
          <w:rtl/>
        </w:rPr>
        <w:t xml:space="preserve">6. التزامن المتفائل (RowVersion وETag وIf-Match)</w:t>
      </w:r>
      <w:bookmarkEnd w:id="429"/>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30" w:id="430"/>
      <w:r>
        <w:rPr>
          <w:rFonts w:ascii="Arial" w:cs="Arial" w:eastAsia="Arial" w:hAnsi="Arial"/>
          <w:b/>
          <w:bCs/>
          <w:color w:val="2B5C8A"/>
          <w:sz w:val="26"/>
          <w:szCs w:val="26"/>
          <w:rtl/>
        </w:rPr>
        <w:t xml:space="preserve">7. مفتاح التكرار (Idempotency-Key)</w:t>
      </w:r>
      <w:bookmarkEnd w:id="4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31" w:id="431"/>
      <w:r>
        <w:rPr>
          <w:rFonts w:ascii="Arial" w:cs="Arial" w:eastAsia="Arial" w:hAnsi="Arial"/>
          <w:b/>
          <w:bCs/>
          <w:color w:val="2B5C8A"/>
          <w:sz w:val="26"/>
          <w:szCs w:val="26"/>
          <w:rtl/>
        </w:rPr>
        <w:t xml:space="preserve">8. مغلف الخطأ (application/problem+json)</w:t>
      </w:r>
      <w:bookmarkEnd w:id="431"/>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2" w:id="432"/>
      <w:r>
        <w:rPr>
          <w:rFonts w:ascii="Arial" w:cs="Arial" w:eastAsia="Arial" w:hAnsi="Arial"/>
          <w:b/>
          <w:bCs/>
          <w:color w:val="2B5C8A"/>
          <w:sz w:val="26"/>
          <w:szCs w:val="26"/>
          <w:rtl/>
        </w:rPr>
        <w:t xml:space="preserve">9. جداول التحويل إلى HTTP</w:t>
      </w:r>
      <w:bookmarkEnd w:id="432"/>
    </w:p>
    <w:p>
      <w:pPr>
        <w:pStyle w:val="Heading3"/>
        <w:bidi/>
      </w:pPr>
      <w:bookmarkStart w:name="_sec433" w:id="433"/>
      <w:r>
        <w:rPr>
          <w:rFonts w:ascii="Arial" w:cs="Arial" w:eastAsia="Arial" w:hAnsi="Arial"/>
          <w:b/>
          <w:bCs/>
          <w:color w:val="2B5C8A"/>
          <w:sz w:val="23"/>
          <w:szCs w:val="23"/>
          <w:rtl/>
        </w:rPr>
        <w:t xml:space="preserve">9.1 دليل الحالات</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4" w:id="434"/>
      <w:r>
        <w:rPr>
          <w:rFonts w:ascii="Arial" w:cs="Arial" w:eastAsia="Arial" w:hAnsi="Arial"/>
          <w:b/>
          <w:bCs/>
          <w:color w:val="2B5C8A"/>
          <w:sz w:val="23"/>
          <w:szCs w:val="23"/>
          <w:rtl/>
        </w:rPr>
        <w:t xml:space="preserve">9.2 رموز التحقق V-XXX-nn</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5" w:id="435"/>
      <w:r>
        <w:rPr>
          <w:rFonts w:ascii="Arial" w:cs="Arial" w:eastAsia="Arial" w:hAnsi="Arial"/>
          <w:b/>
          <w:bCs/>
          <w:color w:val="2B5C8A"/>
          <w:sz w:val="23"/>
          <w:szCs w:val="23"/>
          <w:rtl/>
        </w:rPr>
        <w:t xml:space="preserve">9.3 رموز الأعمال</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6" w:id="436"/>
      <w:r>
        <w:rPr>
          <w:rFonts w:ascii="Arial" w:cs="Arial" w:eastAsia="Arial" w:hAnsi="Arial"/>
          <w:b/>
          <w:bCs/>
          <w:color w:val="2B5C8A"/>
          <w:sz w:val="23"/>
          <w:szCs w:val="23"/>
          <w:rtl/>
        </w:rPr>
        <w:t xml:space="preserve">9.4 أخطاء قاعدة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7" w:id="437"/>
      <w:r>
        <w:rPr>
          <w:rFonts w:ascii="Arial" w:cs="Arial" w:eastAsia="Arial" w:hAnsi="Arial"/>
          <w:b/>
          <w:bCs/>
          <w:color w:val="2B5C8A"/>
          <w:sz w:val="23"/>
          <w:szCs w:val="23"/>
          <w:rtl/>
        </w:rPr>
        <w:t xml:space="preserve">9.5 أخطاء الدخول</w:t>
      </w:r>
      <w:bookmarkEnd w:id="437"/>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8" w:id="438"/>
      <w:r>
        <w:rPr>
          <w:rFonts w:ascii="Arial" w:cs="Arial" w:eastAsia="Arial" w:hAnsi="Arial"/>
          <w:b/>
          <w:bCs/>
          <w:color w:val="2B5C8A"/>
          <w:sz w:val="26"/>
          <w:szCs w:val="26"/>
          <w:rtl/>
        </w:rPr>
        <w:t xml:space="preserve">10. توطين الرسائل</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9" w:id="439"/>
      <w:r>
        <w:rPr>
          <w:rFonts w:ascii="Arial" w:cs="Arial" w:eastAsia="Arial" w:hAnsi="Arial"/>
          <w:b/>
          <w:bCs/>
          <w:color w:val="2B5C8A"/>
          <w:sz w:val="26"/>
          <w:szCs w:val="26"/>
          <w:rtl/>
        </w:rPr>
        <w:t xml:space="preserve">11. مسار ترجمة الخطأ</w:t>
      </w:r>
      <w:bookmarkEnd w:id="439"/>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40" w:id="440"/>
      <w:r>
        <w:rPr>
          <w:rFonts w:ascii="Arial" w:cs="Arial" w:eastAsia="Arial" w:hAnsi="Arial"/>
          <w:b/>
          <w:bCs/>
          <w:color w:val="2B5C8A"/>
          <w:sz w:val="26"/>
          <w:szCs w:val="26"/>
          <w:rtl/>
        </w:rPr>
        <w:t xml:space="preserve">12. وثيقة OpenAPI</w:t>
      </w:r>
      <w:bookmarkEnd w:id="440"/>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41" w:id="441"/>
      <w:r>
        <w:rPr>
          <w:rFonts w:ascii="Arial" w:cs="Arial" w:eastAsia="Arial" w:hAnsi="Arial"/>
          <w:b/>
          <w:bCs/>
          <w:color w:val="2B5C8A"/>
          <w:sz w:val="26"/>
          <w:szCs w:val="26"/>
          <w:rtl/>
        </w:rPr>
        <w:t xml:space="preserve">13. القرارات المطلوبة</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2" w:id="442"/>
      <w:r>
        <w:rPr>
          <w:rFonts w:ascii="Arial" w:cs="Arial" w:eastAsia="Arial" w:hAnsi="Arial"/>
          <w:b/>
          <w:bCs/>
          <w:color w:val="2B5C8A"/>
          <w:sz w:val="26"/>
          <w:szCs w:val="26"/>
          <w:rtl/>
        </w:rPr>
        <w:t xml:space="preserve">14. تعارضات وفجوات في المصادر</w:t>
      </w:r>
      <w:bookmarkEnd w:id="442"/>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3" w:id="443"/>
      <w:r>
        <w:rPr>
          <w:rFonts w:ascii="Arial" w:cs="Arial" w:eastAsia="Arial" w:hAnsi="Arial"/>
          <w:b/>
          <w:bCs/>
          <w:color w:val="2B5C8A"/>
          <w:sz w:val="26"/>
          <w:szCs w:val="26"/>
          <w:rtl/>
        </w:rPr>
        <w:t xml:space="preserve">15. التتبع</w:t>
      </w:r>
      <w:bookmarkEnd w:id="4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4" w:id="444"/>
      <w:r>
        <w:rPr>
          <w:rFonts w:ascii="Arial" w:cs="Arial" w:eastAsia="Arial" w:hAnsi="Arial"/>
          <w:b/>
          <w:bCs/>
          <w:color w:val="1F3A5F"/>
          <w:sz w:val="32"/>
          <w:szCs w:val="32"/>
          <w:rtl/>
        </w:rPr>
        <w:t xml:space="preserve">DOC-B05 — خطة البذر والترحيل الأولي</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5" w:id="445"/>
      <w:r>
        <w:rPr>
          <w:rFonts w:ascii="Arial" w:cs="Arial" w:eastAsia="Arial" w:hAnsi="Arial"/>
          <w:b/>
          <w:bCs/>
          <w:color w:val="2B5C8A"/>
          <w:sz w:val="26"/>
          <w:szCs w:val="26"/>
          <w:rtl/>
        </w:rPr>
        <w:t xml:space="preserve">1. الغرض والنطاق</w:t>
      </w:r>
      <w:bookmarkEnd w:id="445"/>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6" w:id="446"/>
      <w:r>
        <w:rPr>
          <w:rFonts w:ascii="Arial" w:cs="Arial" w:eastAsia="Arial" w:hAnsi="Arial"/>
          <w:b/>
          <w:bCs/>
          <w:color w:val="2B5C8A"/>
          <w:sz w:val="26"/>
          <w:szCs w:val="26"/>
          <w:rtl/>
        </w:rPr>
        <w:t xml:space="preserve">2. ما يوجد اليوم</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7" w:id="447"/>
      <w:r>
        <w:rPr>
          <w:rFonts w:ascii="Arial" w:cs="Arial" w:eastAsia="Arial" w:hAnsi="Arial"/>
          <w:b/>
          <w:bCs/>
          <w:color w:val="2B5C8A"/>
          <w:sz w:val="26"/>
          <w:szCs w:val="26"/>
          <w:rtl/>
        </w:rPr>
        <w:t xml:space="preserve">3. طبقات التحميل</w:t>
      </w:r>
      <w:bookmarkEnd w:id="447"/>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8" w:id="448"/>
      <w:r>
        <w:rPr>
          <w:rFonts w:ascii="Arial" w:cs="Arial" w:eastAsia="Arial" w:hAnsi="Arial"/>
          <w:b/>
          <w:bCs/>
          <w:color w:val="2B5C8A"/>
          <w:sz w:val="26"/>
          <w:szCs w:val="26"/>
          <w:rtl/>
        </w:rPr>
        <w:t xml:space="preserve">4. بذر المنصة (عالمي)</w:t>
      </w:r>
      <w:bookmarkEnd w:id="448"/>
    </w:p>
    <w:p>
      <w:pPr>
        <w:pStyle w:val="Heading3"/>
        <w:bidi/>
      </w:pPr>
      <w:bookmarkStart w:name="_sec449" w:id="449"/>
      <w:r>
        <w:rPr>
          <w:rFonts w:ascii="Arial" w:cs="Arial" w:eastAsia="Arial" w:hAnsi="Arial"/>
          <w:b/>
          <w:bCs/>
          <w:color w:val="2B5C8A"/>
          <w:sz w:val="23"/>
          <w:szCs w:val="23"/>
          <w:rtl/>
        </w:rPr>
        <w:t xml:space="preserve">4.1 الجداول والمحتوى</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50" w:id="450"/>
      <w:r>
        <w:rPr>
          <w:rFonts w:ascii="Arial" w:cs="Arial" w:eastAsia="Arial" w:hAnsi="Arial"/>
          <w:b/>
          <w:bCs/>
          <w:color w:val="2B5C8A"/>
          <w:sz w:val="23"/>
          <w:szCs w:val="23"/>
          <w:rtl/>
        </w:rPr>
        <w:t xml:space="preserve">4.2 ما لا يُبذر على مستوى المنصة</w:t>
      </w:r>
      <w:bookmarkEnd w:id="450"/>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51" w:id="451"/>
      <w:r>
        <w:rPr>
          <w:rFonts w:ascii="Arial" w:cs="Arial" w:eastAsia="Arial" w:hAnsi="Arial"/>
          <w:b/>
          <w:bCs/>
          <w:color w:val="2B5C8A"/>
          <w:sz w:val="23"/>
          <w:szCs w:val="23"/>
          <w:rtl/>
        </w:rPr>
        <w:t xml:space="preserve">4.3 الموقع في ترتيب النشر (منفّذ)</w:t>
      </w:r>
      <w:bookmarkEnd w:id="4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2" w:id="452"/>
      <w:r>
        <w:rPr>
          <w:rFonts w:ascii="Arial" w:cs="Arial" w:eastAsia="Arial" w:hAnsi="Arial"/>
          <w:b/>
          <w:bCs/>
          <w:color w:val="2B5C8A"/>
          <w:sz w:val="26"/>
          <w:szCs w:val="26"/>
          <w:rtl/>
        </w:rPr>
        <w:t xml:space="preserve">5. بذر المشترك عند التهيئة</w:t>
      </w:r>
      <w:bookmarkEnd w:id="452"/>
    </w:p>
    <w:p>
      <w:pPr>
        <w:pStyle w:val="Heading3"/>
        <w:bidi/>
      </w:pPr>
      <w:bookmarkStart w:name="_sec453" w:id="453"/>
      <w:r>
        <w:rPr>
          <w:rFonts w:ascii="Arial" w:cs="Arial" w:eastAsia="Arial" w:hAnsi="Arial"/>
          <w:b/>
          <w:bCs/>
          <w:color w:val="2B5C8A"/>
          <w:sz w:val="23"/>
          <w:szCs w:val="23"/>
          <w:rtl/>
        </w:rPr>
        <w:t xml:space="preserve">5.1 الحزم</w:t>
      </w:r>
      <w:bookmarkEnd w:id="453"/>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4" w:id="454"/>
      <w:r>
        <w:rPr>
          <w:rFonts w:ascii="Arial" w:cs="Arial" w:eastAsia="Arial" w:hAnsi="Arial"/>
          <w:b/>
          <w:bCs/>
          <w:color w:val="2B5C8A"/>
          <w:sz w:val="23"/>
          <w:szCs w:val="23"/>
          <w:rtl/>
        </w:rPr>
        <w:t xml:space="preserve">5.2 مصادر القوائم ومالكوها</w:t>
      </w:r>
      <w:bookmarkEnd w:id="4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5" w:id="455"/>
      <w:r>
        <w:rPr>
          <w:rFonts w:ascii="Arial" w:cs="Arial" w:eastAsia="Arial" w:hAnsi="Arial"/>
          <w:b/>
          <w:bCs/>
          <w:color w:val="2B5C8A"/>
          <w:sz w:val="26"/>
          <w:szCs w:val="26"/>
          <w:rtl/>
        </w:rPr>
        <w:t xml:space="preserve">6. قواعد التكرار الآمن والإصدار</w:t>
      </w:r>
      <w:bookmarkEnd w:id="455"/>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6" w:id="456"/>
      <w:r>
        <w:rPr>
          <w:rFonts w:ascii="Arial" w:cs="Arial" w:eastAsia="Arial" w:hAnsi="Arial"/>
          <w:b/>
          <w:bCs/>
          <w:color w:val="2B5C8A"/>
          <w:sz w:val="26"/>
          <w:szCs w:val="26"/>
          <w:rtl/>
        </w:rPr>
        <w:t xml:space="preserve">7. الترحيل الأولي من Excel</w:t>
      </w:r>
      <w:bookmarkEnd w:id="456"/>
    </w:p>
    <w:p>
      <w:pPr>
        <w:pStyle w:val="Heading3"/>
        <w:bidi/>
      </w:pPr>
      <w:bookmarkStart w:name="_sec457" w:id="457"/>
      <w:r>
        <w:rPr>
          <w:rFonts w:ascii="Arial" w:cs="Arial" w:eastAsia="Arial" w:hAnsi="Arial"/>
          <w:b/>
          <w:bCs/>
          <w:color w:val="2B5C8A"/>
          <w:sz w:val="23"/>
          <w:szCs w:val="23"/>
          <w:rtl/>
        </w:rPr>
        <w:t xml:space="preserve">7.1 القوالب</w:t>
      </w:r>
      <w:bookmarkEnd w:id="457"/>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8" w:id="458"/>
      <w:r>
        <w:rPr>
          <w:rFonts w:ascii="Arial" w:cs="Arial" w:eastAsia="Arial" w:hAnsi="Arial"/>
          <w:b/>
          <w:bCs/>
          <w:color w:val="2B5C8A"/>
          <w:sz w:val="23"/>
          <w:szCs w:val="23"/>
          <w:rtl/>
        </w:rPr>
        <w:t xml:space="preserve">7.2 ترتيب التحميل</w:t>
      </w:r>
      <w:bookmarkEnd w:id="458"/>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9" w:id="459"/>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8. الاختبارات (تُنقل إلى DOC-B01)</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9. القرارات المطلوبة</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2" w:id="462"/>
      <w:r>
        <w:rPr>
          <w:rFonts w:ascii="Arial" w:cs="Arial" w:eastAsia="Arial" w:hAnsi="Arial"/>
          <w:b/>
          <w:bCs/>
          <w:color w:val="2B5C8A"/>
          <w:sz w:val="26"/>
          <w:szCs w:val="26"/>
          <w:rtl/>
        </w:rPr>
        <w:t xml:space="preserve">10. تعارضات وفجوات في المصادر</w:t>
      </w:r>
      <w:bookmarkEnd w:id="462"/>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3" w:id="463"/>
      <w:r>
        <w:rPr>
          <w:rFonts w:ascii="Arial" w:cs="Arial" w:eastAsia="Arial" w:hAnsi="Arial"/>
          <w:b/>
          <w:bCs/>
          <w:color w:val="2B5C8A"/>
          <w:sz w:val="26"/>
          <w:szCs w:val="26"/>
          <w:rtl/>
        </w:rPr>
        <w:t xml:space="preserve">11. التتبع</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4" w:id="464"/>
      <w:r>
        <w:rPr>
          <w:rFonts w:ascii="Arial" w:cs="Arial" w:eastAsia="Arial" w:hAnsi="Arial"/>
          <w:b/>
          <w:bCs/>
          <w:color w:val="1F3A5F"/>
          <w:sz w:val="32"/>
          <w:szCs w:val="32"/>
          <w:rtl/>
        </w:rPr>
        <w:t xml:space="preserve">DOC-B07 — قائمة شاشات S0 وخريطة التنقل والنماذج الأولية</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5" w:id="465"/>
      <w:r>
        <w:rPr>
          <w:rFonts w:ascii="Arial" w:cs="Arial" w:eastAsia="Arial" w:hAnsi="Arial"/>
          <w:b/>
          <w:bCs/>
          <w:color w:val="2B5C8A"/>
          <w:sz w:val="26"/>
          <w:szCs w:val="26"/>
          <w:rtl/>
        </w:rPr>
        <w:t xml:space="preserve">1. الغرض والنطاق</w:t>
      </w:r>
      <w:bookmarkEnd w:id="465"/>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6" w:id="466"/>
      <w:r>
        <w:rPr>
          <w:rFonts w:ascii="Arial" w:cs="Arial" w:eastAsia="Arial" w:hAnsi="Arial"/>
          <w:b/>
          <w:bCs/>
          <w:color w:val="2B5C8A"/>
          <w:sz w:val="26"/>
          <w:szCs w:val="26"/>
          <w:rtl/>
        </w:rPr>
        <w:t xml:space="preserve">2. شاشات بوابة المشترك في S0</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7" w:id="467"/>
      <w:r>
        <w:rPr>
          <w:rFonts w:ascii="Arial" w:cs="Arial" w:eastAsia="Arial" w:hAnsi="Arial"/>
          <w:b/>
          <w:bCs/>
          <w:color w:val="2B5C8A"/>
          <w:sz w:val="26"/>
          <w:szCs w:val="26"/>
          <w:rtl/>
        </w:rPr>
        <w:t xml:space="preserve">3. شاشات لوحة المشغّل في S0</w:t>
      </w:r>
      <w:bookmarkEnd w:id="4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8" w:id="468"/>
      <w:r>
        <w:rPr>
          <w:rFonts w:ascii="Arial" w:cs="Arial" w:eastAsia="Arial" w:hAnsi="Arial"/>
          <w:b/>
          <w:bCs/>
          <w:color w:val="2B5C8A"/>
          <w:sz w:val="26"/>
          <w:szCs w:val="26"/>
          <w:rtl/>
        </w:rPr>
        <w:t xml:space="preserve">4. خريطة التنقل</w:t>
      </w:r>
      <w:bookmarkEnd w:id="468"/>
    </w:p>
    <w:p>
      <w:pPr>
        <w:pStyle w:val="Heading3"/>
        <w:bidi/>
      </w:pPr>
      <w:bookmarkStart w:name="_sec469" w:id="469"/>
      <w:r>
        <w:rPr>
          <w:rFonts w:ascii="Arial" w:cs="Arial" w:eastAsia="Arial" w:hAnsi="Arial"/>
          <w:b/>
          <w:bCs/>
          <w:color w:val="2B5C8A"/>
          <w:sz w:val="23"/>
          <w:szCs w:val="23"/>
          <w:rtl/>
        </w:rPr>
        <w:t xml:space="preserve">4.1 العناوين والفصل بين البوابتين</w:t>
      </w:r>
      <w:bookmarkEnd w:id="469"/>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70" w:id="470"/>
      <w:r>
        <w:rPr>
          <w:rFonts w:ascii="Arial" w:cs="Arial" w:eastAsia="Arial" w:hAnsi="Arial"/>
          <w:b/>
          <w:bCs/>
          <w:color w:val="2B5C8A"/>
          <w:sz w:val="23"/>
          <w:szCs w:val="23"/>
          <w:rtl/>
        </w:rPr>
        <w:t xml:space="preserve">4.2 قشرة بوابة المشترك</w:t>
      </w:r>
      <w:bookmarkEnd w:id="47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71" w:id="471"/>
      <w:r>
        <w:rPr>
          <w:rFonts w:ascii="Arial" w:cs="Arial" w:eastAsia="Arial" w:hAnsi="Arial"/>
          <w:b/>
          <w:bCs/>
          <w:color w:val="2B5C8A"/>
          <w:sz w:val="23"/>
          <w:szCs w:val="23"/>
          <w:rtl/>
        </w:rPr>
        <w:t xml:space="preserve">4.3 إظهار عناصر القائمة</w:t>
      </w:r>
      <w:bookmarkEnd w:id="471"/>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2" w:id="472"/>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2"/>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3" w:id="473"/>
      <w:r>
        <w:rPr>
          <w:rFonts w:ascii="Arial" w:cs="Arial" w:eastAsia="Arial" w:hAnsi="Arial"/>
          <w:b/>
          <w:bCs/>
          <w:color w:val="2B5C8A"/>
          <w:sz w:val="26"/>
          <w:szCs w:val="26"/>
          <w:rtl/>
        </w:rPr>
        <w:t xml:space="preserve">5. النماذج الأولية منخفضة الدقة</w:t>
      </w:r>
      <w:bookmarkEnd w:id="473"/>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4" w:id="474"/>
      <w:r>
        <w:rPr>
          <w:rFonts w:ascii="Arial" w:cs="Arial" w:eastAsia="Arial" w:hAnsi="Arial"/>
          <w:b/>
          <w:bCs/>
          <w:color w:val="2B5C8A"/>
          <w:sz w:val="23"/>
          <w:szCs w:val="23"/>
          <w:rtl/>
        </w:rPr>
        <w:t xml:space="preserve">5.1 الدخول (SCR-PLT-01)</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5" w:id="475"/>
      <w:r>
        <w:rPr>
          <w:rFonts w:ascii="Arial" w:cs="Arial" w:eastAsia="Arial" w:hAnsi="Arial"/>
          <w:b/>
          <w:bCs/>
          <w:color w:val="2B5C8A"/>
          <w:sz w:val="23"/>
          <w:szCs w:val="23"/>
          <w:rtl/>
        </w:rPr>
        <w:t xml:space="preserve">5.2 التحقق بخطوتين (SCR-PLT-02)</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6" w:id="476"/>
      <w:r>
        <w:rPr>
          <w:rFonts w:ascii="Arial" w:cs="Arial" w:eastAsia="Arial" w:hAnsi="Arial"/>
          <w:b/>
          <w:bCs/>
          <w:color w:val="2B5C8A"/>
          <w:sz w:val="23"/>
          <w:szCs w:val="23"/>
          <w:rtl/>
        </w:rPr>
        <w:t xml:space="preserve">5.3 قائمة المستخدمين (SCR-PLT-07)</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7" w:id="477"/>
      <w:r>
        <w:rPr>
          <w:rFonts w:ascii="Arial" w:cs="Arial" w:eastAsia="Arial" w:hAnsi="Arial"/>
          <w:b/>
          <w:bCs/>
          <w:color w:val="2B5C8A"/>
          <w:sz w:val="23"/>
          <w:szCs w:val="23"/>
          <w:rtl/>
        </w:rPr>
        <w:t xml:space="preserve">5.4 بطاقة المستخدم: تبويب الأدوار (SCR-PLT-08)</w:t>
      </w:r>
      <w:bookmarkEnd w:id="47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8" w:id="478"/>
      <w:r>
        <w:rPr>
          <w:rFonts w:ascii="Arial" w:cs="Arial" w:eastAsia="Arial" w:hAnsi="Arial"/>
          <w:b/>
          <w:bCs/>
          <w:color w:val="2B5C8A"/>
          <w:sz w:val="23"/>
          <w:szCs w:val="23"/>
          <w:rtl/>
        </w:rPr>
        <w:t xml:space="preserve">5.5 قائمة المشتركين في لوحة المشغّل (SCR-PLT-52)</w:t>
      </w:r>
      <w:bookmarkEnd w:id="47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9" w:id="479"/>
      <w:r>
        <w:rPr>
          <w:rFonts w:ascii="Arial" w:cs="Arial" w:eastAsia="Arial" w:hAnsi="Arial"/>
          <w:b/>
          <w:bCs/>
          <w:color w:val="2B5C8A"/>
          <w:sz w:val="26"/>
          <w:szCs w:val="26"/>
          <w:rtl/>
        </w:rPr>
        <w:t xml:space="preserve">6. قواعد مشتركة للشاشات</w:t>
      </w:r>
      <w:bookmarkEnd w:id="479"/>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80" w:id="480"/>
      <w:r>
        <w:rPr>
          <w:rFonts w:ascii="Arial" w:cs="Arial" w:eastAsia="Arial" w:hAnsi="Arial"/>
          <w:b/>
          <w:bCs/>
          <w:color w:val="2B5C8A"/>
          <w:sz w:val="26"/>
          <w:szCs w:val="26"/>
          <w:rtl/>
        </w:rPr>
        <w:t xml:space="preserve">7. القرارات المطلوبة</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81" w:id="481"/>
      <w:r>
        <w:rPr>
          <w:rFonts w:ascii="Arial" w:cs="Arial" w:eastAsia="Arial" w:hAnsi="Arial"/>
          <w:b/>
          <w:bCs/>
          <w:color w:val="2B5C8A"/>
          <w:sz w:val="26"/>
          <w:szCs w:val="26"/>
          <w:rtl/>
        </w:rPr>
        <w:t xml:space="preserve">8. تعارضات وفجوات في المصادر</w:t>
      </w:r>
      <w:bookmarkEnd w:id="481"/>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2" w:id="482"/>
      <w:r>
        <w:rPr>
          <w:rFonts w:ascii="Arial" w:cs="Arial" w:eastAsia="Arial" w:hAnsi="Arial"/>
          <w:b/>
          <w:bCs/>
          <w:color w:val="2B5C8A"/>
          <w:sz w:val="26"/>
          <w:szCs w:val="26"/>
          <w:rtl/>
        </w:rPr>
        <w:t xml:space="preserve">9. التتبع</w:t>
      </w:r>
      <w:bookmarkEnd w:id="4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3" w:id="483"/>
      <w:r>
        <w:rPr>
          <w:rFonts w:ascii="Arial" w:cs="Arial" w:eastAsia="Arial" w:hAnsi="Arial"/>
          <w:b/>
          <w:bCs/>
          <w:color w:val="1F3A5F"/>
          <w:sz w:val="32"/>
          <w:szCs w:val="32"/>
          <w:rtl/>
        </w:rPr>
        <w:t xml:space="preserve">DOC-B09 — مصفوفة المسؤوليات وسجل ملكية القرارات</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1. الغرض والنطاق</w:t>
      </w:r>
      <w:bookmarkEnd w:id="484"/>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5" w:id="485"/>
      <w:r>
        <w:rPr>
          <w:rFonts w:ascii="Arial" w:cs="Arial" w:eastAsia="Arial" w:hAnsi="Arial"/>
          <w:b/>
          <w:bCs/>
          <w:color w:val="2B5C8A"/>
          <w:sz w:val="26"/>
          <w:szCs w:val="26"/>
          <w:rtl/>
        </w:rPr>
        <w:t xml:space="preserve">2. الأدوار</w:t>
      </w:r>
      <w:bookmarkEnd w:id="4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6" w:id="486"/>
      <w:r>
        <w:rPr>
          <w:rFonts w:ascii="Arial" w:cs="Arial" w:eastAsia="Arial" w:hAnsi="Arial"/>
          <w:b/>
          <w:bCs/>
          <w:color w:val="2B5C8A"/>
          <w:sz w:val="26"/>
          <w:szCs w:val="26"/>
          <w:rtl/>
        </w:rPr>
        <w:t xml:space="preserve">3. قواعد الملكية</w:t>
      </w:r>
      <w:bookmarkEnd w:id="486"/>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7" w:id="487"/>
      <w:r>
        <w:rPr>
          <w:rFonts w:ascii="Arial" w:cs="Arial" w:eastAsia="Arial" w:hAnsi="Arial"/>
          <w:b/>
          <w:bCs/>
          <w:color w:val="2B5C8A"/>
          <w:sz w:val="26"/>
          <w:szCs w:val="26"/>
          <w:rtl/>
        </w:rPr>
        <w:t xml:space="preserve">4. بوابة S0</w:t>
      </w:r>
      <w:bookmarkEnd w:id="487"/>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 المالك الافتراضيات الـ148 الباقية 2026-10-19، فالأسئلة الـ155 محسومة (</w:t>
            </w: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القرار 31)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8" w:id="488"/>
      <w:r>
        <w:rPr>
          <w:rFonts w:ascii="Arial" w:cs="Arial" w:eastAsia="Arial" w:hAnsi="Arial"/>
          <w:b/>
          <w:bCs/>
          <w:color w:val="2B5C8A"/>
          <w:sz w:val="26"/>
          <w:szCs w:val="26"/>
          <w:rtl/>
        </w:rPr>
        <w:t xml:space="preserve">5. مصفوفة RACI لوثائق P0</w:t>
      </w:r>
      <w:bookmarkEnd w:id="488"/>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9" w:id="489"/>
      <w:r>
        <w:rPr>
          <w:rFonts w:ascii="Arial" w:cs="Arial" w:eastAsia="Arial" w:hAnsi="Arial"/>
          <w:b/>
          <w:bCs/>
          <w:color w:val="2B5C8A"/>
          <w:sz w:val="26"/>
          <w:szCs w:val="26"/>
          <w:rtl/>
        </w:rPr>
        <w:t xml:space="preserve">6. سجل ملكية القرارات</w:t>
      </w:r>
      <w:bookmarkEnd w:id="489"/>
    </w:p>
    <w:p>
      <w:pPr>
        <w:pStyle w:val="Heading3"/>
        <w:bidi/>
      </w:pPr>
      <w:bookmarkStart w:name="_sec490" w:id="490"/>
      <w:r>
        <w:rPr>
          <w:rFonts w:ascii="Arial" w:cs="Arial" w:eastAsia="Arial" w:hAnsi="Arial"/>
          <w:b/>
          <w:bCs/>
          <w:color w:val="2B5C8A"/>
          <w:sz w:val="23"/>
          <w:szCs w:val="23"/>
          <w:rtl/>
        </w:rPr>
        <w:t xml:space="preserve">6.1 القرارات في tools/dbgen/erd_open_items.py</w:t>
      </w:r>
      <w:bookmarkEnd w:id="490"/>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91" w:id="491"/>
      <w:r>
        <w:rPr>
          <w:rFonts w:ascii="Arial" w:cs="Arial" w:eastAsia="Arial" w:hAnsi="Arial"/>
          <w:b/>
          <w:bCs/>
          <w:color w:val="2B5C8A"/>
          <w:sz w:val="23"/>
          <w:szCs w:val="23"/>
          <w:rtl/>
        </w:rPr>
        <w:t xml:space="preserve">6.2 البنود في docs/20-database-design.md §16</w:t>
      </w:r>
      <w:bookmarkEnd w:id="491"/>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2" w:id="492"/>
      <w:r>
        <w:rPr>
          <w:rFonts w:ascii="Arial" w:cs="Arial" w:eastAsia="Arial" w:hAnsi="Arial"/>
          <w:b/>
          <w:bCs/>
          <w:color w:val="2B5C8A"/>
          <w:sz w:val="26"/>
          <w:szCs w:val="26"/>
          <w:rtl/>
        </w:rPr>
        <w:t xml:space="preserve">7. الأسئلة المفتوحة الـ155</w:t>
      </w:r>
      <w:bookmarkEnd w:id="492"/>
    </w:p>
    <w:p>
      <w:pPr>
        <w:pStyle w:val="Heading3"/>
        <w:bidi/>
      </w:pPr>
      <w:bookmarkStart w:name="_sec493" w:id="493"/>
      <w:r>
        <w:rPr>
          <w:rFonts w:ascii="Arial" w:cs="Arial" w:eastAsia="Arial" w:hAnsi="Arial"/>
          <w:b/>
          <w:bCs/>
          <w:color w:val="2B5C8A"/>
          <w:sz w:val="23"/>
          <w:szCs w:val="23"/>
          <w:rtl/>
        </w:rPr>
        <w:t xml:space="preserve">7.1 الاقتراح</w:t>
      </w:r>
      <w:bookmarkEnd w:id="493"/>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4" w:id="494"/>
      <w:r>
        <w:rPr>
          <w:rFonts w:ascii="Arial" w:cs="Arial" w:eastAsia="Arial" w:hAnsi="Arial"/>
          <w:b/>
          <w:bCs/>
          <w:color w:val="2B5C8A"/>
          <w:sz w:val="23"/>
          <w:szCs w:val="23"/>
          <w:rtl/>
        </w:rPr>
        <w:t xml:space="preserve">7.2 العدد بحسب الوحدة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5" w:id="495"/>
      <w:r>
        <w:rPr>
          <w:rFonts w:ascii="Arial" w:cs="Arial" w:eastAsia="Arial" w:hAnsi="Arial"/>
          <w:b/>
          <w:bCs/>
          <w:color w:val="2B5C8A"/>
          <w:sz w:val="23"/>
          <w:szCs w:val="23"/>
          <w:rtl/>
        </w:rPr>
        <w:t xml:space="preserve">7.3 العدد بحسب الشريحة (المفتوح)</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7.4 أسئلة S0 التسعة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7.5 المالك المقترح لكل بادئة</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8" w:id="498"/>
      <w:r>
        <w:rPr>
          <w:rFonts w:ascii="Arial" w:cs="Arial" w:eastAsia="Arial" w:hAnsi="Arial"/>
          <w:b/>
          <w:bCs/>
          <w:color w:val="2B5C8A"/>
          <w:sz w:val="26"/>
          <w:szCs w:val="26"/>
          <w:rtl/>
        </w:rPr>
        <w:t xml:space="preserve">8. القرارات المطلوبة</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9" w:id="499"/>
      <w:r>
        <w:rPr>
          <w:rFonts w:ascii="Arial" w:cs="Arial" w:eastAsia="Arial" w:hAnsi="Arial"/>
          <w:b/>
          <w:bCs/>
          <w:color w:val="2B5C8A"/>
          <w:sz w:val="26"/>
          <w:szCs w:val="26"/>
          <w:rtl/>
        </w:rPr>
        <w:t xml:space="preserve">9. تعارضات وفجوات في المصادر</w:t>
      </w:r>
      <w:bookmarkEnd w:id="499"/>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500" w:id="500"/>
      <w:r>
        <w:rPr>
          <w:rFonts w:ascii="Arial" w:cs="Arial" w:eastAsia="Arial" w:hAnsi="Arial"/>
          <w:b/>
          <w:bCs/>
          <w:color w:val="2B5C8A"/>
          <w:sz w:val="26"/>
          <w:szCs w:val="26"/>
          <w:rtl/>
        </w:rPr>
        <w:t xml:space="preserve">10. التتبع</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501" w:id="501"/>
      <w:r>
        <w:rPr>
          <w:rFonts w:ascii="Arial" w:cs="Arial" w:eastAsia="Arial" w:hAnsi="Arial"/>
          <w:b/>
          <w:bCs/>
          <w:color w:val="1F3A5F"/>
          <w:sz w:val="32"/>
          <w:szCs w:val="32"/>
          <w:rtl/>
        </w:rPr>
        <w:t xml:space="preserve">DOC-B10 — المسرد ثنائي اللغة (English / العربية)</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1. الغرض والنطاق</w:t>
      </w:r>
      <w:bookmarkEnd w:id="502"/>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3" w:id="503"/>
      <w:r>
        <w:rPr>
          <w:rFonts w:ascii="Arial" w:cs="Arial" w:eastAsia="Arial" w:hAnsi="Arial"/>
          <w:b/>
          <w:bCs/>
          <w:color w:val="2B5C8A"/>
          <w:sz w:val="26"/>
          <w:szCs w:val="26"/>
          <w:rtl/>
        </w:rPr>
        <w:t xml:space="preserve">2. المنصة والمشترك</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3. الهوية والدخول والجلسات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4. المستخدمون والأدوار والصلاحيات</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5. الإعدادات والترقيم والتدقيق والمستندات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6. الهيكل المؤسسي والأشخاص (M1)</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المجال الأساسي (التسهيلات والاعتمادات والطلبات)</w:t>
      </w:r>
      <w:bookmarkEnd w:id="5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9" w:id="509"/>
      <w:r>
        <w:rPr>
          <w:rFonts w:ascii="Arial" w:cs="Arial" w:eastAsia="Arial" w:hAnsi="Arial"/>
          <w:b/>
          <w:bCs/>
          <w:color w:val="2B5C8A"/>
          <w:sz w:val="26"/>
          <w:szCs w:val="26"/>
          <w:rtl/>
        </w:rPr>
        <w:t xml:space="preserve">8. رسائل S0</w:t>
      </w:r>
      <w:bookmarkEnd w:id="509"/>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9. قواعد ملفات الموارد</w:t>
      </w:r>
      <w:bookmarkEnd w:id="510"/>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11" w:id="511"/>
      <w:r>
        <w:rPr>
          <w:rFonts w:ascii="Arial" w:cs="Arial" w:eastAsia="Arial" w:hAnsi="Arial"/>
          <w:b/>
          <w:bCs/>
          <w:color w:val="2B5C8A"/>
          <w:sz w:val="26"/>
          <w:szCs w:val="26"/>
          <w:rtl/>
        </w:rPr>
        <w:t xml:space="preserve">10. القرارات المطلوبة</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2" w:id="512"/>
      <w:r>
        <w:rPr>
          <w:rFonts w:ascii="Arial" w:cs="Arial" w:eastAsia="Arial" w:hAnsi="Arial"/>
          <w:b/>
          <w:bCs/>
          <w:color w:val="2B5C8A"/>
          <w:sz w:val="26"/>
          <w:szCs w:val="26"/>
          <w:rtl/>
        </w:rPr>
        <w:t xml:space="preserve">11. تعارضات وفجوات في المصادر</w:t>
      </w:r>
      <w:bookmarkEnd w:id="512"/>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3" w:id="513"/>
      <w:r>
        <w:rPr>
          <w:rFonts w:ascii="Arial" w:cs="Arial" w:eastAsia="Arial" w:hAnsi="Arial"/>
          <w:b/>
          <w:bCs/>
          <w:color w:val="2B5C8A"/>
          <w:sz w:val="26"/>
          <w:szCs w:val="26"/>
          <w:rtl/>
        </w:rPr>
        <w:t xml:space="preserve">12. التتبع</w:t>
      </w:r>
      <w:bookmarkEnd w:id="5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4" w:id="514"/>
      <w:r>
        <w:rPr>
          <w:rFonts w:ascii="Arial" w:cs="Arial" w:eastAsia="Arial" w:hAnsi="Arial"/>
          <w:b/>
          <w:bCs/>
          <w:color w:val="1F3A5F"/>
          <w:sz w:val="32"/>
          <w:szCs w:val="32"/>
          <w:rtl/>
        </w:rPr>
        <w:t xml:space="preserve">DOC-B11 — مواصفة البيئات والبناء والإصدار</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5" w:id="515"/>
      <w:r>
        <w:rPr>
          <w:rFonts w:ascii="Arial" w:cs="Arial" w:eastAsia="Arial" w:hAnsi="Arial"/>
          <w:b/>
          <w:bCs/>
          <w:color w:val="2B5C8A"/>
          <w:sz w:val="26"/>
          <w:szCs w:val="26"/>
          <w:rtl/>
        </w:rPr>
        <w:t xml:space="preserve">1. الغرض والنطاق</w:t>
      </w:r>
      <w:bookmarkEnd w:id="515"/>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6" w:id="516"/>
      <w:r>
        <w:rPr>
          <w:rFonts w:ascii="Arial" w:cs="Arial" w:eastAsia="Arial" w:hAnsi="Arial"/>
          <w:b/>
          <w:bCs/>
          <w:color w:val="2B5C8A"/>
          <w:sz w:val="26"/>
          <w:szCs w:val="26"/>
          <w:rtl/>
        </w:rPr>
        <w:t xml:space="preserve">2. البيئات</w:t>
      </w:r>
      <w:bookmarkEnd w:id="516"/>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7" w:id="517"/>
      <w:r>
        <w:rPr>
          <w:rFonts w:ascii="Arial" w:cs="Arial" w:eastAsia="Arial" w:hAnsi="Arial"/>
          <w:b/>
          <w:bCs/>
          <w:color w:val="2B5C8A"/>
          <w:sz w:val="26"/>
          <w:szCs w:val="26"/>
          <w:rtl/>
        </w:rPr>
        <w:t xml:space="preserve">3. ما يعمل أين</w:t>
      </w:r>
      <w:bookmarkEnd w:id="5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(tools/ci/db_ci.sh:149، الخطوة 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8" w:id="518"/>
      <w:r>
        <w:rPr>
          <w:rFonts w:ascii="Arial" w:cs="Arial" w:eastAsia="Arial" w:hAnsi="Arial"/>
          <w:b/>
          <w:bCs/>
          <w:color w:val="2B5C8A"/>
          <w:sz w:val="26"/>
          <w:szCs w:val="26"/>
          <w:rtl/>
        </w:rPr>
        <w:t xml:space="preserve">4. التفرّع والإصدارات</w:t>
      </w:r>
      <w:bookmarkEnd w:id="518"/>
    </w:p>
    <w:p>
      <w:pPr>
        <w:pStyle w:val="Heading3"/>
        <w:bidi/>
      </w:pPr>
      <w:bookmarkStart w:name="_sec519" w:id="519"/>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9"/>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20" w:id="520"/>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20"/>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21" w:id="521"/>
      <w:r>
        <w:rPr>
          <w:rFonts w:ascii="Arial" w:cs="Arial" w:eastAsia="Arial" w:hAnsi="Arial"/>
          <w:b/>
          <w:bCs/>
          <w:color w:val="2B5C8A"/>
          <w:sz w:val="23"/>
          <w:szCs w:val="23"/>
          <w:rtl/>
        </w:rPr>
        <w:t xml:space="preserve">4.3 سجل الإصدارات (FR-PLT-045، البند 1)</w:t>
      </w:r>
      <w:bookmarkEnd w:id="521"/>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2" w:id="522"/>
      <w:r>
        <w:rPr>
          <w:rFonts w:ascii="Arial" w:cs="Arial" w:eastAsia="Arial" w:hAnsi="Arial"/>
          <w:b/>
          <w:bCs/>
          <w:color w:val="2B5C8A"/>
          <w:sz w:val="26"/>
          <w:szCs w:val="26"/>
          <w:rtl/>
        </w:rPr>
        <w:t xml:space="preserve">5. خط البناء</w:t>
      </w:r>
      <w:bookmarkEnd w:id="522"/>
    </w:p>
    <w:p>
      <w:pPr>
        <w:pStyle w:val="Heading3"/>
        <w:bidi/>
      </w:pPr>
      <w:bookmarkStart w:name="_sec523" w:id="523"/>
      <w:r>
        <w:rPr>
          <w:rFonts w:ascii="Arial" w:cs="Arial" w:eastAsia="Arial" w:hAnsi="Arial"/>
          <w:b/>
          <w:bCs/>
          <w:color w:val="2B5C8A"/>
          <w:sz w:val="23"/>
          <w:szCs w:val="23"/>
          <w:rtl/>
        </w:rPr>
        <w:t xml:space="preserve">5.1 خط القاعدة القائم</w:t>
      </w:r>
      <w:bookmarkEnd w:id="523"/>
    </w:p>
    <w:p>
      <w:pPr>
        <w:bidi/>
        <w:spacing w:after="110" w:before="0" w:line="312"/>
      </w:pPr>
      <w:r>
        <w:rPr>
          <w:rFonts w:ascii="Arial" w:cs="Arial" w:eastAsia="Arial" w:hAnsi="Arial"/>
          <w:b w:val="false"/>
          <w:bCs w:val="false"/>
          <w:sz w:val="21"/>
          <w:szCs w:val="21"/>
          <w:rtl/>
        </w:rPr>
        <w:t xml:space="preserve">الخطوات الـ34 من 0 إلى 24 (ومعها 4b و19b–19d و22b–22f)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(DQ-B01-3).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يعمل فيها الآن (tools/ci/db_ci.sh:104-105).</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4" w:id="524"/>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4"/>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5" w:id="525"/>
      <w:r>
        <w:rPr>
          <w:rFonts w:ascii="Arial" w:cs="Arial" w:eastAsia="Arial" w:hAnsi="Arial"/>
          <w:b/>
          <w:bCs/>
          <w:color w:val="2B5C8A"/>
          <w:sz w:val="23"/>
          <w:szCs w:val="23"/>
          <w:rtl/>
        </w:rPr>
        <w:t xml:space="preserve">5.3 المهمة الأسبوعية (FR-PLT-045، البند 3)</w:t>
      </w:r>
      <w:bookmarkEnd w:id="525"/>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6" w:id="526"/>
      <w:r>
        <w:rPr>
          <w:rFonts w:ascii="Arial" w:cs="Arial" w:eastAsia="Arial" w:hAnsi="Arial"/>
          <w:b/>
          <w:bCs/>
          <w:color w:val="2B5C8A"/>
          <w:sz w:val="26"/>
          <w:szCs w:val="26"/>
          <w:rtl/>
        </w:rPr>
        <w:t xml:space="preserve">6. استراتيجية ترحيل القاعدة</w:t>
      </w:r>
      <w:bookmarkEnd w:id="526"/>
    </w:p>
    <w:p>
      <w:pPr>
        <w:pStyle w:val="Heading3"/>
        <w:bidi/>
      </w:pPr>
      <w:bookmarkStart w:name="_sec527" w:id="527"/>
      <w:r>
        <w:rPr>
          <w:rFonts w:ascii="Arial" w:cs="Arial" w:eastAsia="Arial" w:hAnsi="Arial"/>
          <w:b/>
          <w:bCs/>
          <w:color w:val="2B5C8A"/>
          <w:sz w:val="23"/>
          <w:szCs w:val="23"/>
          <w:rtl/>
        </w:rPr>
        <w:t xml:space="preserve">6.1 الوضع اليوم</w:t>
      </w:r>
      <w:bookmarkEnd w:id="527"/>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كانت وثيقة القاعدة تقر بأنه «لا يوجد بعدُ مسار ترحيل بين الإصدارات» وتقترح أداة ترحيل مثل DbUp أو Flyway (O-2).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صار O-2 محلولًا (docs/20-database-design.md:627، ADR 0034):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8" w:id="528"/>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8"/>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بُني بدله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بالدفتر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(§6.4، ADR 0034)، ويمكن لـDbUp أن يحلّ محله لاحقًا على المجلد والدفتر نفسيهما.</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9" w:id="529"/>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9"/>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3"/>
        <w:bidi/>
      </w:pPr>
      <w:bookmarkStart w:name="_sec530" w:id="530"/>
      <w:r>
        <w:rPr>
          <w:rFonts w:ascii="Arial" w:cs="Arial" w:eastAsia="Arial" w:hAnsi="Arial"/>
          <w:b/>
          <w:bCs/>
          <w:color w:val="2B5C8A"/>
          <w:sz w:val="23"/>
          <w:szCs w:val="23"/>
          <w:rtl/>
        </w:rPr>
        <w:t xml:space="preserve">6.4 ما بُني في 2026-10-21 (ADR 0034) </w:t>
      </w:r>
      <w:r>
        <w:rPr>
          <w:rFonts w:ascii="Segoe UI Emoji" w:cs="Segoe UI Emoji" w:eastAsia="Segoe UI Emoji" w:hAnsi="Segoe UI Emoji"/>
          <w:sz w:val="23"/>
          <w:szCs w:val="23"/>
          <w:rtl/>
        </w:rPr>
        <w:t xml:space="preserve">✅</w:t>
      </w:r>
      <w:bookmarkEnd w:id="530"/>
    </w:p>
    <w:p>
      <w:pPr>
        <w:bidi/>
        <w:spacing w:after="110" w:before="0" w:line="312"/>
      </w:pPr>
      <w:r>
        <w:rPr>
          <w:rFonts w:ascii="Arial" w:cs="Arial" w:eastAsia="Arial" w:hAnsi="Arial"/>
          <w:b w:val="false"/>
          <w:bCs w:val="false"/>
          <w:sz w:val="21"/>
          <w:szCs w:val="21"/>
          <w:rtl/>
        </w:rPr>
        <w:t xml:space="preserve">بُني المقترح في §6.2 و§6.3 إلا فحص التكافؤ بين قاعدة جديدة وقاعدة مرقّاة، فهو ينتظر أول سكربت مرقّم.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9"/>
        <w:gridCol w:w="3473"/>
        <w:gridCol w:w="5002"/>
      </w:tblGrid>
      <w:tr>
        <w:trPr>
          <w:cantSplit/>
          <w:tblHeader/>
        </w:trPr>
        <w:tc>
          <w:tcPr>
            <w:tcW w:type="dxa" w:w="1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5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دفتر الترحيلات (§6.2 البند 1 و4)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سطر لكل خطوة (BASELINE، وكل سكربت مرقّم، وكل تشغيل R للسكربتات المتكررة)، ومعه بصمة SHA-256 للملف، وبصمة المخطط بعد الخطوة، ومن نفّذ، ومتى، وكم استغرق. لا يقرؤه ولا يكتبه أي دور</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ADR 0034</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المخطط (§6.3)</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‎plat.fn_SchemaFingerprint‎</w:t>
            </w:r>
            <w:r>
              <w:rPr>
                <w:rFonts w:ascii="Arial" w:cs="Arial" w:eastAsia="Arial" w:hAnsi="Arial"/>
                <w:b w:val="false"/>
                <w:bCs w:val="false"/>
                <w:sz w:val="18"/>
                <w:szCs w:val="18"/>
                <w:rtl/>
              </w:rPr>
              <w:t xml:space="preserve"> على ثمانية أجزاء مرتبة ثنائيًا: المخططات، والأعمدة، والمفاتيح والقيود، والفهارس، وتعريفات الكائنات البرمجية، والسياسات، والأدوار، ومنح الأدوار. ولا تدخلها حسابات المستخدمين ولا العضوية، لأن حسابات الخدمة تُنشأ بعد النشر وتختلف بين الخوادم عمدًا</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db/static/056_schema_fingerprint.sql</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(§6.2 البند 4)</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بثلاثة أوامر: </w:t>
            </w:r>
            <w:r>
              <w:rPr>
                <w:rFonts w:ascii="Courier New" w:cs="Courier New" w:eastAsia="Courier New" w:hAnsi="Courier New"/>
                <w:b w:val="false"/>
                <w:bCs w:val="false"/>
                <w:color w:val="1F2937"/>
                <w:sz w:val="16"/>
                <w:szCs w:val="16"/>
                <w:shd w:fill="F1F3F5" w:color="auto" w:val="clear"/>
                <w:rtl/>
              </w:rPr>
              <w:t xml:space="preserve">‎baseline‎</w:t>
            </w:r>
            <w:r>
              <w:rPr>
                <w:rFonts w:ascii="Arial" w:cs="Arial" w:eastAsia="Arial" w:hAnsi="Arial"/>
                <w:b w:val="false"/>
                <w:bCs w:val="false"/>
                <w:sz w:val="18"/>
                <w:szCs w:val="18"/>
                <w:rtl/>
              </w:rPr>
              <w:t xml:space="preserve"> (يستدعيه deploy.sh بعد النشر الجديد)،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‎apply‎</w:t>
            </w:r>
            <w:r>
              <w:rPr>
                <w:rFonts w:ascii="Arial" w:cs="Arial" w:eastAsia="Arial" w:hAnsi="Arial"/>
                <w:b w:val="false"/>
                <w:bCs w:val="false"/>
                <w:sz w:val="18"/>
                <w:szCs w:val="18"/>
                <w:rtl/>
              </w:rPr>
              <w:t xml:space="preserve">. كل سكربت مرقّم يُنفَّذ في معاملة واحدة مع سطره في الدفتر، والسكربتات المتكررة (أسطر deploy.sql من 004 فصاعدًا) في معاملة واحدة بعدها. واختير سكربت shell بدل DbUp لأن DbUp يحتاج طبقة الخدمة غير المبنية، ويمكنه أن يحلّ محله على المجلد والدفتر نفسيهما</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tools/deploy/migrate.sh؛ db/migrations/README.md</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دون تغيير</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 أساس؛ أو بصمة المخطط غير بصمة الدفتر (تغيير خارج الدفتر)؛ أو سكربت طُبّق ثم عُدّل أو حُذف؛ أو سكربت جديد رقمه قبل سكربت مطبَّق؛ أو اسم ملف مخالف</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MG5 وMG7</w:t>
            </w:r>
          </w:p>
        </w:tc>
      </w:tr>
      <w:tr>
        <w:trPr>
          <w:cantSplit/>
        </w:trPr>
        <w:tc>
          <w:tcPr>
            <w:tcW w:type="dxa" w:w="1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تشغيل الملفات الثابتة (§6.1)</w:t>
            </w:r>
          </w:p>
        </w:tc>
        <w:tc>
          <w:tcPr>
            <w:tcW w:type="dxa" w:w="3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كانت لا تُعاد:</w:t>
            </w:r>
            <w:r>
              <w:rPr>
                <w:rFonts w:ascii="Arial" w:cs="Arial" w:eastAsia="Arial" w:hAnsi="Arial"/>
                <w:b w:val="false"/>
                <w:bCs w:val="false"/>
                <w:sz w:val="18"/>
                <w:szCs w:val="18"/>
                <w:rtl/>
              </w:rPr>
              <w:t xml:space="preserve"> توقف 010 لأن دوال المرشّحات مربوطة بالمخطط ببعضها وبالسياسات. صار 010 يحذف السياسات ودواله أولًا ثم ينشئها، ولا ترى أي جلسة جدولًا بلا سياسة لأن التشغيل كله في معاملة واحدة. وأثبت CI أن التشغيل الثاني لا يغيّر البصمة</w:t>
            </w:r>
          </w:p>
        </w:tc>
        <w:tc>
          <w:tcPr>
            <w:tcW w:type="dxa" w:w="5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MG3</w:t>
            </w:r>
          </w:p>
        </w:tc>
      </w:tr>
      <w:tr>
        <w:trPr>
          <w:cantSplit/>
        </w:trPr>
        <w:tc>
          <w:tcPr>
            <w:tcW w:type="dxa" w:w="1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w:t>
            </w:r>
          </w:p>
        </w:tc>
        <w:tc>
          <w:tcPr>
            <w:tcW w:type="dxa" w:w="3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MG1 إلى MG7 في CI على القاعدة التي ينشرها: تسجيل خط الأساس، ولا شيء معلّق، والإعادة بلا تغيير، وسكربت تجريبي مرة واحدة، والرفض، والتراجع عند الفشل، وإيقاف التغيير خارج الدفتر</w:t>
            </w:r>
          </w:p>
        </w:tc>
        <w:tc>
          <w:tcPr>
            <w:tcW w:type="dxa" w:w="5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tools/ci/migration_check.sh</w:t>
            </w:r>
          </w:p>
        </w:tc>
      </w:tr>
    </w:tbl>
    <w:p>
      <w:pPr>
        <w:bidi/>
        <w:spacing w:after="120" w:before="0"/>
      </w:pPr>
    </w:p>
    <w:p>
      <w:pPr>
        <w:bidi/>
        <w:spacing w:after="110" w:before="0" w:line="312"/>
      </w:pPr>
      <w:r>
        <w:rPr>
          <w:rFonts w:ascii="Arial" w:cs="Arial" w:eastAsia="Arial" w:hAnsi="Arial"/>
          <w:b/>
          <w:bCs/>
          <w:sz w:val="21"/>
          <w:szCs w:val="21"/>
          <w:rtl/>
        </w:rPr>
        <w:t xml:space="preserve">ما بقي:</w:t>
      </w:r>
      <w:r>
        <w:rPr>
          <w:rFonts w:ascii="Arial" w:cs="Arial" w:eastAsia="Arial" w:hAnsi="Arial"/>
          <w:b w:val="false"/>
          <w:bCs w:val="false"/>
          <w:sz w:val="21"/>
          <w:szCs w:val="21"/>
          <w:rtl/>
        </w:rPr>
        <w:t xml:space="preserve"> فحص التكافؤ في §6.3 (قاعدة جديدة من وسم الإصدار السابق، ثم الترحيلات، ثم المقارنة ببصمة نشر جديد للفرع). يدخل CI مع أول سكربت في db/migrations، والمجلد فارغ اليوم. وبنود §6.2 من 5 إلى 8 (حساب الترحيل، والتوسيع ثم التقليص، وترحيل البيانات، والنسخة قبل الترحيل) قواعد عمل لا أدوات: يطبّقها كاتب كل سكربت.</w:t>
      </w:r>
    </w:p>
    <w:p>
      <w:pPr>
        <w:pStyle w:val="Heading2"/>
        <w:bidi/>
      </w:pPr>
      <w:bookmarkStart w:name="_sec531" w:id="531"/>
      <w:r>
        <w:rPr>
          <w:rFonts w:ascii="Arial" w:cs="Arial" w:eastAsia="Arial" w:hAnsi="Arial"/>
          <w:b/>
          <w:bCs/>
          <w:color w:val="2B5C8A"/>
          <w:sz w:val="26"/>
          <w:szCs w:val="26"/>
          <w:rtl/>
        </w:rPr>
        <w:t xml:space="preserve">7. بوابات الإصدار</w:t>
      </w:r>
      <w:bookmarkEnd w:id="5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48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32" w:id="532"/>
      <w:r>
        <w:rPr>
          <w:rFonts w:ascii="Arial" w:cs="Arial" w:eastAsia="Arial" w:hAnsi="Arial"/>
          <w:b/>
          <w:bCs/>
          <w:color w:val="2B5C8A"/>
          <w:sz w:val="26"/>
          <w:szCs w:val="26"/>
          <w:rtl/>
        </w:rPr>
        <w:t xml:space="preserve">8. التراجع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3" w:id="533"/>
      <w:r>
        <w:rPr>
          <w:rFonts w:ascii="Arial" w:cs="Arial" w:eastAsia="Arial" w:hAnsi="Arial"/>
          <w:b/>
          <w:bCs/>
          <w:color w:val="2B5C8A"/>
          <w:sz w:val="26"/>
          <w:szCs w:val="26"/>
          <w:rtl/>
        </w:rPr>
        <w:t xml:space="preserve">9. الإعدادات والأسرار لكل بيئة</w:t>
      </w:r>
      <w:bookmarkEnd w:id="533"/>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CI (tools/ci/db_ci.sh:163، ADR 0010)</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10. البيانات في البيئات غير الإنتاجية</w:t>
      </w:r>
      <w:bookmarkEnd w:id="534"/>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5" w:id="535"/>
      <w:r>
        <w:rPr>
          <w:rFonts w:ascii="Arial" w:cs="Arial" w:eastAsia="Arial" w:hAnsi="Arial"/>
          <w:b/>
          <w:bCs/>
          <w:color w:val="2B5C8A"/>
          <w:sz w:val="26"/>
          <w:szCs w:val="26"/>
          <w:rtl/>
        </w:rPr>
        <w:t xml:space="preserve">11. حزمة النشر القابلة للنقل</w:t>
      </w:r>
      <w:bookmarkEnd w:id="535"/>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6" w:id="536"/>
      <w:r>
        <w:rPr>
          <w:rFonts w:ascii="Arial" w:cs="Arial" w:eastAsia="Arial" w:hAnsi="Arial"/>
          <w:b/>
          <w:bCs/>
          <w:color w:val="2B5C8A"/>
          <w:sz w:val="26"/>
          <w:szCs w:val="26"/>
          <w:rtl/>
        </w:rPr>
        <w:t xml:space="preserve">12. القرارات المطلوبة</w:t>
      </w:r>
      <w:bookmarkEnd w:id="5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(§6.4)، ويمكن لـDbUp أن يحلّ محله لاحقًا على المجلد والدفتر نفسيهما</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7" w:id="537"/>
      <w:r>
        <w:rPr>
          <w:rFonts w:ascii="Arial" w:cs="Arial" w:eastAsia="Arial" w:hAnsi="Arial"/>
          <w:b/>
          <w:bCs/>
          <w:color w:val="2B5C8A"/>
          <w:sz w:val="26"/>
          <w:szCs w:val="26"/>
          <w:rtl/>
        </w:rPr>
        <w:t xml:space="preserve">13. تعارضات وفجوات في المصادر</w:t>
      </w:r>
      <w:bookmarkEnd w:id="537"/>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8" w:id="538"/>
      <w:r>
        <w:rPr>
          <w:rFonts w:ascii="Arial" w:cs="Arial" w:eastAsia="Arial" w:hAnsi="Arial"/>
          <w:b/>
          <w:bCs/>
          <w:color w:val="2B5C8A"/>
          <w:sz w:val="26"/>
          <w:szCs w:val="26"/>
          <w:rtl/>
        </w:rPr>
        <w:t xml:space="preserve">14. التتبع</w:t>
      </w:r>
      <w:bookmarkEnd w:id="5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9f91f91e285045edd78c231bbc08b82a169ff948.png"/><Relationship Id="rId33" Type="http://schemas.openxmlformats.org/officeDocument/2006/relationships/image" Target="media/d203a9aa472f91bea813833e16c4209877742daa.png"/><Relationship Id="rId34" Type="http://schemas.openxmlformats.org/officeDocument/2006/relationships/image" Target="media/54c389893751ea242670fdca32a510a007006c0e.png"/><Relationship Id="rId35" Type="http://schemas.openxmlformats.org/officeDocument/2006/relationships/image" Target="media/9aafdda79cd992ae177aaaedd2e762ad8102165c.png"/><Relationship Id="rId36" Type="http://schemas.openxmlformats.org/officeDocument/2006/relationships/image" Target="media/6e607880d915c2bfc16f3b9e9401e120971dc860.png"/><Relationship Id="rId37" Type="http://schemas.openxmlformats.org/officeDocument/2006/relationships/image" Target="media/387df3542b89899b4ae42179181fbe1eabdb7379.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aac54e1cbca0647e2bee615414bfa98cd4806890.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a9587711c10ac0038f38199fd19c512f013733fb.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2026-10-22T20:50:48.203Z</dcterms:created>
  <dcterms:modified xsi:type="dcterms:W3CDTF">2026-10-22T20:50:48.204Z</dcterms:modified>
</cp:coreProperties>
</file>

<file path=docProps/custom.xml><?xml version="1.0" encoding="utf-8"?>
<Properties xmlns="http://schemas.openxmlformats.org/officeDocument/2006/custom-properties" xmlns:vt="http://schemas.openxmlformats.org/officeDocument/2006/docPropsVTypes"/>
</file>