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89">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1">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5">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2">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3">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09">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مكتوب في S2: LimitTests (AC-FAC-12، 40 ناجحًا و60 مرفوضًا)</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docs/20-database-design.md:271؛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docs/20-database-design.md:271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481965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819650"/>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ثم JOB-FIN-READINESS (ADR 0027) وJOB-PLT-AUDIT-CHAIN (ADR 0033)؛ 34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مبني: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يربط اتصال عامل المهام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بمشترك واحد بصفة حساب خدمته، لمهمة من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في حالة تسمح بها، بلا جلسة مستخدم؛ وتختبره J1 إلى J7.</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w:t>
            </w:r>
            <w:r>
              <w:rPr>
                <w:rFonts w:ascii="Courier New" w:cs="Courier New" w:eastAsia="Courier New" w:hAnsi="Courier New"/>
                <w:b w:val="false"/>
                <w:bCs w:val="false"/>
                <w:color w:val="1F2937"/>
                <w:sz w:val="16"/>
                <w:szCs w:val="16"/>
                <w:shd w:fill="F1F3F5" w:color="auto" w:val="clear"/>
                <w:rtl/>
              </w:rPr>
              <w:t xml:space="preserve">‎take‎</w:t>
            </w:r>
            <w:r>
              <w:rPr>
                <w:rFonts w:ascii="Arial" w:cs="Arial" w:eastAsia="Arial" w:hAnsi="Arial"/>
                <w:b w:val="false"/>
                <w:bCs w:val="false"/>
                <w:sz w:val="18"/>
                <w:szCs w:val="18"/>
                <w:rtl/>
              </w:rPr>
              <w:t xml:space="preserve"> (يفحص من آخر مرساة في المخزن ثم يرسي ما تحرك بعدها)، وأسبوعيًا </w:t>
            </w:r>
            <w:r>
              <w:rPr>
                <w:rFonts w:ascii="Courier New" w:cs="Courier New" w:eastAsia="Courier New" w:hAnsi="Courier New"/>
                <w:b w:val="false"/>
                <w:bCs w:val="false"/>
                <w:color w:val="1F2937"/>
                <w:sz w:val="16"/>
                <w:szCs w:val="16"/>
                <w:shd w:fill="F1F3F5" w:color="auto" w:val="clear"/>
                <w:rtl/>
              </w:rPr>
              <w:t xml:space="preserve">‎verify --full‎</w:t>
            </w:r>
            <w:r>
              <w:rPr>
                <w:rFonts w:ascii="Arial" w:cs="Arial" w:eastAsia="Arial" w:hAnsi="Arial"/>
                <w:b w:val="false"/>
                <w:bCs w:val="false"/>
                <w:sz w:val="18"/>
                <w:szCs w:val="18"/>
                <w:rtl/>
              </w:rPr>
              <w:t xml:space="preserve"> على كل المراسي (ADR 0036، ADR 0039)؛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خطوات الترقية </w:t>
      </w:r>
      <w:r>
        <w:rPr>
          <w:rFonts w:ascii="Arial" w:cs="Arial" w:eastAsia="Arial" w:hAnsi="Arial"/>
          <w:color w:val="2E9E44"/>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145"/>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145"/>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145"/>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145"/>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2"/>
        <w:bidi/>
      </w:pPr>
      <w:bookmarkStart w:name="_sec379" w:id="379"/>
      <w:r>
        <w:rPr>
          <w:rFonts w:ascii="Arial" w:cs="Arial" w:eastAsia="Arial" w:hAnsi="Arial"/>
          <w:b/>
          <w:bCs/>
          <w:color w:val="2B5C8A"/>
          <w:sz w:val="26"/>
          <w:szCs w:val="26"/>
          <w:rtl/>
        </w:rPr>
        <w:t xml:space="preserve">8. الفحوص</w:t>
      </w:r>
      <w:bookmarkEnd w:id="379"/>
    </w:p>
    <w:p>
      <w:pPr>
        <w:pStyle w:val="Heading3"/>
        <w:bidi/>
      </w:pPr>
      <w:bookmarkStart w:name="_sec380" w:id="380"/>
      <w:r>
        <w:rPr>
          <w:rFonts w:ascii="Arial" w:cs="Arial" w:eastAsia="Arial" w:hAnsi="Arial"/>
          <w:b/>
          <w:bCs/>
          <w:color w:val="2B5C8A"/>
          <w:sz w:val="23"/>
          <w:szCs w:val="23"/>
          <w:rtl/>
        </w:rPr>
        <w:t xml:space="preserve">8.1 قبل النشر</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8.2 بعد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2" w:id="382"/>
      <w:r>
        <w:rPr>
          <w:rFonts w:ascii="Arial" w:cs="Arial" w:eastAsia="Arial" w:hAnsi="Arial"/>
          <w:b/>
          <w:bCs/>
          <w:color w:val="2B5C8A"/>
          <w:sz w:val="23"/>
          <w:szCs w:val="23"/>
          <w:rtl/>
        </w:rPr>
        <w:t xml:space="preserve">8.3 اختبارات القاعدة: أين تُشغَّل</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3" w:id="383"/>
      <w:r>
        <w:rPr>
          <w:rFonts w:ascii="Arial" w:cs="Arial" w:eastAsia="Arial" w:hAnsi="Arial"/>
          <w:b/>
          <w:bCs/>
          <w:color w:val="2B5C8A"/>
          <w:sz w:val="26"/>
          <w:szCs w:val="26"/>
          <w:rtl/>
        </w:rPr>
        <w:t xml:space="preserve">9. التراجع</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4" w:id="384"/>
      <w:r>
        <w:rPr>
          <w:rFonts w:ascii="Arial" w:cs="Arial" w:eastAsia="Arial" w:hAnsi="Arial"/>
          <w:b/>
          <w:bCs/>
          <w:color w:val="2B5C8A"/>
          <w:sz w:val="26"/>
          <w:szCs w:val="26"/>
          <w:rtl/>
        </w:rPr>
        <w:t xml:space="preserve">10. النافذة والتوقيع</w:t>
      </w:r>
      <w:bookmarkEnd w:id="384"/>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5" w:id="385"/>
      <w:r>
        <w:rPr>
          <w:rFonts w:ascii="Arial" w:cs="Arial" w:eastAsia="Arial" w:hAnsi="Arial"/>
          <w:b/>
          <w:bCs/>
          <w:color w:val="2B5C8A"/>
          <w:sz w:val="26"/>
          <w:szCs w:val="26"/>
          <w:rtl/>
        </w:rPr>
        <w:t xml:space="preserve">11. تعديلات مقترحة على الأدوات (لم تُنفَّذ)</w:t>
      </w:r>
      <w:bookmarkEnd w:id="3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6" w:id="386"/>
      <w:r>
        <w:rPr>
          <w:rFonts w:ascii="Arial" w:cs="Arial" w:eastAsia="Arial" w:hAnsi="Arial"/>
          <w:b/>
          <w:bCs/>
          <w:color w:val="2B5C8A"/>
          <w:sz w:val="26"/>
          <w:szCs w:val="26"/>
          <w:rtl/>
        </w:rPr>
        <w:t xml:space="preserve">12. القرارات المطلوبة</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13. تعارضات وفجوات في المصادر</w:t>
      </w:r>
      <w:bookmarkEnd w:id="387"/>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8" w:id="388"/>
      <w:r>
        <w:rPr>
          <w:rFonts w:ascii="Arial" w:cs="Arial" w:eastAsia="Arial" w:hAnsi="Arial"/>
          <w:b/>
          <w:bCs/>
          <w:color w:val="2B5C8A"/>
          <w:sz w:val="26"/>
          <w:szCs w:val="26"/>
          <w:rtl/>
        </w:rPr>
        <w:t xml:space="preserve">14. التتبع</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89" w:id="389"/>
      <w:r>
        <w:rPr>
          <w:rFonts w:ascii="Arial" w:cs="Arial" w:eastAsia="Arial" w:hAnsi="Arial"/>
          <w:b/>
          <w:bCs/>
          <w:color w:val="1F3A5F"/>
          <w:sz w:val="32"/>
          <w:szCs w:val="32"/>
          <w:rtl/>
        </w:rPr>
        <w:t xml:space="preserve">DOC-S12 — متطلبات السجلات والمراقبة والتدقيق التشغيلي</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0" w:id="390"/>
      <w:r>
        <w:rPr>
          <w:rFonts w:ascii="Arial" w:cs="Arial" w:eastAsia="Arial" w:hAnsi="Arial"/>
          <w:b/>
          <w:bCs/>
          <w:color w:val="2B5C8A"/>
          <w:sz w:val="26"/>
          <w:szCs w:val="26"/>
          <w:rtl/>
        </w:rPr>
        <w:t xml:space="preserve">1. الغرض والنطاق</w:t>
      </w:r>
      <w:bookmarkEnd w:id="390"/>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1" w:id="391"/>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2" w:id="392"/>
      <w:r>
        <w:rPr>
          <w:rFonts w:ascii="Arial" w:cs="Arial" w:eastAsia="Arial" w:hAnsi="Arial"/>
          <w:b/>
          <w:bCs/>
          <w:color w:val="2B5C8A"/>
          <w:sz w:val="26"/>
          <w:szCs w:val="26"/>
          <w:rtl/>
        </w:rPr>
        <w:t xml:space="preserve">3. ما يُسجَّل وأين</w:t>
      </w:r>
      <w:bookmarkEnd w:id="392"/>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3" w:id="393"/>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3"/>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4" w:id="394"/>
      <w:r>
        <w:rPr>
          <w:rFonts w:ascii="Arial" w:cs="Arial" w:eastAsia="Arial" w:hAnsi="Arial"/>
          <w:b/>
          <w:bCs/>
          <w:color w:val="2B5C8A"/>
          <w:sz w:val="23"/>
          <w:szCs w:val="23"/>
          <w:rtl/>
        </w:rPr>
        <w:t xml:space="preserve">3.2 السجلات التشغيلية في القاعدة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5"/>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6" w:id="396"/>
      <w:r>
        <w:rPr>
          <w:rFonts w:ascii="Arial" w:cs="Arial" w:eastAsia="Arial" w:hAnsi="Arial"/>
          <w:b/>
          <w:bCs/>
          <w:color w:val="2B5C8A"/>
          <w:sz w:val="23"/>
          <w:szCs w:val="23"/>
          <w:rtl/>
        </w:rPr>
        <w:t xml:space="preserve">3.4 سجل أخطاء SQL Server</w:t>
      </w:r>
      <w:bookmarkEnd w:id="396"/>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7" w:id="397"/>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3.6 سجلات النظام والمحيط</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399" w:id="399"/>
      <w:r>
        <w:rPr>
          <w:rFonts w:ascii="Arial" w:cs="Arial" w:eastAsia="Arial" w:hAnsi="Arial"/>
          <w:b/>
          <w:bCs/>
          <w:color w:val="2B5C8A"/>
          <w:sz w:val="26"/>
          <w:szCs w:val="26"/>
          <w:rtl/>
        </w:rPr>
        <w:t xml:space="preserve">4. معرّف الارتباط من الطرف إلى الطرف</w:t>
      </w:r>
      <w:bookmarkEnd w:id="399"/>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0" w:id="400"/>
      <w:r>
        <w:rPr>
          <w:rFonts w:ascii="Arial" w:cs="Arial" w:eastAsia="Arial" w:hAnsi="Arial"/>
          <w:b/>
          <w:bCs/>
          <w:color w:val="2B5C8A"/>
          <w:sz w:val="26"/>
          <w:szCs w:val="26"/>
          <w:rtl/>
        </w:rPr>
        <w:t xml:space="preserve">5. الاحتفاظ والحماية</w:t>
      </w:r>
      <w:bookmarkEnd w:id="400"/>
    </w:p>
    <w:p>
      <w:pPr>
        <w:pStyle w:val="Heading3"/>
        <w:bidi/>
      </w:pPr>
      <w:bookmarkStart w:name="_sec401" w:id="401"/>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2" w:id="402"/>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2"/>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3" w:id="403"/>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3"/>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4" w:id="404"/>
      <w:r>
        <w:rPr>
          <w:rFonts w:ascii="Arial" w:cs="Arial" w:eastAsia="Arial" w:hAnsi="Arial"/>
          <w:b/>
          <w:bCs/>
          <w:color w:val="2B5C8A"/>
          <w:sz w:val="26"/>
          <w:szCs w:val="26"/>
          <w:rtl/>
        </w:rPr>
        <w:t xml:space="preserve">6. المقاييس والتنبيهات</w:t>
      </w:r>
      <w:bookmarkEnd w:id="404"/>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5" w:id="405"/>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6" w:id="406"/>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9. معايير القبول</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10. القرارات المطلوبة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11. تعارضات وفجوات في المصادر</w:t>
      </w:r>
      <w:bookmarkEnd w:id="409"/>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0" w:id="410"/>
      <w:r>
        <w:rPr>
          <w:rFonts w:ascii="Arial" w:cs="Arial" w:eastAsia="Arial" w:hAnsi="Arial"/>
          <w:b/>
          <w:bCs/>
          <w:color w:val="2B5C8A"/>
          <w:sz w:val="26"/>
          <w:szCs w:val="26"/>
          <w:rtl/>
        </w:rPr>
        <w:t xml:space="preserve">12. التتبع</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1" w:id="411"/>
      <w:r>
        <w:rPr>
          <w:rFonts w:ascii="Arial" w:cs="Arial" w:eastAsia="Arial" w:hAnsi="Arial"/>
          <w:b/>
          <w:bCs/>
          <w:color w:val="1F3A5F"/>
          <w:sz w:val="32"/>
          <w:szCs w:val="32"/>
          <w:rtl/>
        </w:rPr>
        <w:t xml:space="preserve">DOC-S13 — خطة اختبار الأمن والعزل</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1. الغرض والنطاق</w:t>
      </w:r>
      <w:bookmarkEnd w:id="412"/>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3" w:id="413"/>
      <w:r>
        <w:rPr>
          <w:rFonts w:ascii="Arial" w:cs="Arial" w:eastAsia="Arial" w:hAnsi="Arial"/>
          <w:b/>
          <w:bCs/>
          <w:color w:val="2B5C8A"/>
          <w:sz w:val="26"/>
          <w:szCs w:val="26"/>
          <w:rtl/>
        </w:rPr>
        <w:t xml:space="preserve">2. ما يوجد اليوم</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4" w:id="414"/>
      <w:r>
        <w:rPr>
          <w:rFonts w:ascii="Arial" w:cs="Arial" w:eastAsia="Arial" w:hAnsi="Arial"/>
          <w:b/>
          <w:bCs/>
          <w:color w:val="2B5C8A"/>
          <w:sz w:val="26"/>
          <w:szCs w:val="26"/>
          <w:rtl/>
        </w:rPr>
        <w:t xml:space="preserve">3. طبقات الاختبار الأمني</w:t>
      </w:r>
      <w:bookmarkEnd w:id="414"/>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4. اختبارات العزل القائمة في القاعدة وربطها بالتهديدات</w:t>
      </w:r>
      <w:bookmarkEnd w:id="415"/>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6" w:id="416"/>
      <w:r>
        <w:rPr>
          <w:rFonts w:ascii="Arial" w:cs="Arial" w:eastAsia="Arial" w:hAnsi="Arial"/>
          <w:b/>
          <w:bCs/>
          <w:color w:val="2B5C8A"/>
          <w:sz w:val="26"/>
          <w:szCs w:val="26"/>
          <w:rtl/>
        </w:rPr>
        <w:t xml:space="preserve">5. عبور المشتركين وIDOR وغياب السياق على مستوى API</w:t>
      </w:r>
      <w:bookmarkEnd w:id="416"/>
    </w:p>
    <w:p>
      <w:pPr>
        <w:pStyle w:val="Heading3"/>
        <w:bidi/>
      </w:pPr>
      <w:bookmarkStart w:name="_sec417" w:id="417"/>
      <w:r>
        <w:rPr>
          <w:rFonts w:ascii="Arial" w:cs="Arial" w:eastAsia="Arial" w:hAnsi="Arial"/>
          <w:b/>
          <w:bCs/>
          <w:color w:val="2B5C8A"/>
          <w:sz w:val="23"/>
          <w:szCs w:val="23"/>
          <w:rtl/>
        </w:rPr>
        <w:t xml:space="preserve">5.1 التجهيز</w:t>
      </w:r>
      <w:bookmarkEnd w:id="417"/>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8" w:id="418"/>
      <w:r>
        <w:rPr>
          <w:rFonts w:ascii="Arial" w:cs="Arial" w:eastAsia="Arial" w:hAnsi="Arial"/>
          <w:b/>
          <w:bCs/>
          <w:color w:val="2B5C8A"/>
          <w:sz w:val="23"/>
          <w:szCs w:val="23"/>
          <w:rtl/>
        </w:rPr>
        <w:t xml:space="preserve">5.2 الحالات لكل عملية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19" w:id="419"/>
      <w:r>
        <w:rPr>
          <w:rFonts w:ascii="Arial" w:cs="Arial" w:eastAsia="Arial" w:hAnsi="Arial"/>
          <w:b/>
          <w:bCs/>
          <w:color w:val="2B5C8A"/>
          <w:sz w:val="23"/>
          <w:szCs w:val="23"/>
          <w:rtl/>
        </w:rPr>
        <w:t xml:space="preserve">5.3 نقاط S0 في هيكل OpenAPI</w:t>
      </w:r>
      <w:bookmarkEnd w:id="419"/>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0" w:id="420"/>
      <w:r>
        <w:rPr>
          <w:rFonts w:ascii="Arial" w:cs="Arial" w:eastAsia="Arial" w:hAnsi="Arial"/>
          <w:b/>
          <w:bCs/>
          <w:color w:val="2B5C8A"/>
          <w:sz w:val="23"/>
          <w:szCs w:val="23"/>
          <w:rtl/>
        </w:rPr>
        <w:t xml:space="preserve">5.4 نقاط الشرائح التالية</w:t>
      </w:r>
      <w:bookmarkEnd w:id="420"/>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6. ربط OWASP ASVS المستوى 2 بالضوابط والاختبارات</w:t>
      </w:r>
      <w:bookmarkEnd w:id="421"/>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7. اختبارات الجلسة وCSRF والترويسات</w:t>
      </w:r>
      <w:bookmarkEnd w:id="422"/>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8. اختبارات سياسة كلمة المرور وMFA</w:t>
      </w:r>
      <w:bookmarkEnd w:id="423"/>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9. اختبار الاختراق</w:t>
      </w:r>
      <w:bookmarkEnd w:id="424"/>
    </w:p>
    <w:p>
      <w:pPr>
        <w:pStyle w:val="Heading3"/>
        <w:bidi/>
      </w:pPr>
      <w:bookmarkStart w:name="_sec425" w:id="425"/>
      <w:r>
        <w:rPr>
          <w:rFonts w:ascii="Arial" w:cs="Arial" w:eastAsia="Arial" w:hAnsi="Arial"/>
          <w:b/>
          <w:bCs/>
          <w:color w:val="2B5C8A"/>
          <w:sz w:val="23"/>
          <w:szCs w:val="23"/>
          <w:rtl/>
        </w:rPr>
        <w:t xml:space="preserve">9.1 التوقيت</w:t>
      </w:r>
      <w:bookmarkEnd w:id="4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6" w:id="426"/>
      <w:r>
        <w:rPr>
          <w:rFonts w:ascii="Arial" w:cs="Arial" w:eastAsia="Arial" w:hAnsi="Arial"/>
          <w:b/>
          <w:bCs/>
          <w:color w:val="2B5C8A"/>
          <w:sz w:val="23"/>
          <w:szCs w:val="23"/>
          <w:rtl/>
        </w:rPr>
        <w:t xml:space="preserve">9.2 النطاق</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7"/>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8" w:id="428"/>
      <w:r>
        <w:rPr>
          <w:rFonts w:ascii="Arial" w:cs="Arial" w:eastAsia="Arial" w:hAnsi="Arial"/>
          <w:b/>
          <w:bCs/>
          <w:color w:val="2B5C8A"/>
          <w:sz w:val="26"/>
          <w:szCs w:val="26"/>
          <w:rtl/>
        </w:rPr>
        <w:t xml:space="preserve">10. المخاطر المتبقية: حالات تُكتب عند الإغلاق</w:t>
      </w:r>
      <w:bookmarkEnd w:id="428"/>
    </w:p>
    <w:p>
      <w:pPr>
        <w:pStyle w:val="Heading3"/>
        <w:bidi/>
      </w:pPr>
      <w:bookmarkStart w:name="_sec429" w:id="429"/>
      <w:r>
        <w:rPr>
          <w:rFonts w:ascii="Arial" w:cs="Arial" w:eastAsia="Arial" w:hAnsi="Arial"/>
          <w:b/>
          <w:bCs/>
          <w:color w:val="2B5C8A"/>
          <w:sz w:val="23"/>
          <w:szCs w:val="23"/>
          <w:rtl/>
        </w:rPr>
        <w:t xml:space="preserve">10.1 O-24 (erd_open_items)</w:t>
      </w:r>
      <w:bookmarkEnd w:id="429"/>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0" w:id="430"/>
      <w:r>
        <w:rPr>
          <w:rFonts w:ascii="Arial" w:cs="Arial" w:eastAsia="Arial" w:hAnsi="Arial"/>
          <w:b/>
          <w:bCs/>
          <w:color w:val="2B5C8A"/>
          <w:sz w:val="23"/>
          <w:szCs w:val="23"/>
          <w:rtl/>
        </w:rPr>
        <w:t xml:space="preserve">10.2 مخاطر مفتوحة أخرى</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11. البوابات لكل شريحة</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12. القرارات المطلوبة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13. تعارضات وفجوات في المصادر</w:t>
      </w:r>
      <w:bookmarkEnd w:id="433"/>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4" w:id="434"/>
      <w:r>
        <w:rPr>
          <w:rFonts w:ascii="Arial" w:cs="Arial" w:eastAsia="Arial" w:hAnsi="Arial"/>
          <w:b/>
          <w:bCs/>
          <w:color w:val="2B5C8A"/>
          <w:sz w:val="26"/>
          <w:szCs w:val="26"/>
          <w:rtl/>
        </w:rPr>
        <w:t xml:space="preserve">14. التتبع</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5" w:id="435"/>
      <w:r>
        <w:rPr>
          <w:rFonts w:ascii="Arial" w:cs="Arial" w:eastAsia="Arial" w:hAnsi="Arial"/>
          <w:b/>
          <w:bCs/>
          <w:color w:val="1F3A5F"/>
          <w:sz w:val="32"/>
          <w:szCs w:val="32"/>
          <w:rtl/>
        </w:rPr>
        <w:t xml:space="preserve">DOC-S15 — إجراء الاستجابة للحوادث الأمنية وإخطار خرق البيانات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6" w:id="436"/>
      <w:r>
        <w:rPr>
          <w:rFonts w:ascii="Arial" w:cs="Arial" w:eastAsia="Arial" w:hAnsi="Arial"/>
          <w:b/>
          <w:bCs/>
          <w:color w:val="2B5C8A"/>
          <w:sz w:val="26"/>
          <w:szCs w:val="26"/>
          <w:rtl/>
        </w:rPr>
        <w:t xml:space="preserve">1. الغرض والنطاق</w:t>
      </w:r>
      <w:bookmarkEnd w:id="4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7" w:id="437"/>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3. فئات الحوادث</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39" w:id="439"/>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0" w:id="440"/>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1" w:id="441"/>
      <w:r>
        <w:rPr>
          <w:rFonts w:ascii="Arial" w:cs="Arial" w:eastAsia="Arial" w:hAnsi="Arial"/>
          <w:b/>
          <w:bCs/>
          <w:color w:val="2B5C8A"/>
          <w:sz w:val="26"/>
          <w:szCs w:val="26"/>
          <w:rtl/>
        </w:rPr>
        <w:t xml:space="preserve">6. مصادر الكشف</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2" w:id="442"/>
      <w:r>
        <w:rPr>
          <w:rFonts w:ascii="Arial" w:cs="Arial" w:eastAsia="Arial" w:hAnsi="Arial"/>
          <w:b/>
          <w:bCs/>
          <w:color w:val="2B5C8A"/>
          <w:sz w:val="26"/>
          <w:szCs w:val="26"/>
          <w:rtl/>
        </w:rPr>
        <w:t xml:space="preserve">7. دورة الاستجابة</w:t>
      </w:r>
      <w:bookmarkEnd w:id="442"/>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3" w:id="443"/>
      <w:r>
        <w:rPr>
          <w:rFonts w:ascii="Arial" w:cs="Arial" w:eastAsia="Arial" w:hAnsi="Arial"/>
          <w:b/>
          <w:bCs/>
          <w:color w:val="2B5C8A"/>
          <w:sz w:val="26"/>
          <w:szCs w:val="26"/>
          <w:rtl/>
        </w:rPr>
        <w:t xml:space="preserve">8. الاحتواء للسيناريوهات الرئيسية</w:t>
      </w:r>
      <w:bookmarkEnd w:id="443"/>
    </w:p>
    <w:p>
      <w:pPr>
        <w:pStyle w:val="Heading3"/>
        <w:bidi/>
      </w:pPr>
      <w:bookmarkStart w:name="_sec444" w:id="444"/>
      <w:r>
        <w:rPr>
          <w:rFonts w:ascii="Arial" w:cs="Arial" w:eastAsia="Arial" w:hAnsi="Arial"/>
          <w:b/>
          <w:bCs/>
          <w:color w:val="2B5C8A"/>
          <w:sz w:val="23"/>
          <w:szCs w:val="23"/>
          <w:rtl/>
        </w:rPr>
        <w:t xml:space="preserve">8.1 IC-1 تعرّض بين المشتركين</w:t>
      </w:r>
      <w:bookmarkEnd w:id="444"/>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5" w:id="445"/>
      <w:r>
        <w:rPr>
          <w:rFonts w:ascii="Arial" w:cs="Arial" w:eastAsia="Arial" w:hAnsi="Arial"/>
          <w:b/>
          <w:bCs/>
          <w:color w:val="2B5C8A"/>
          <w:sz w:val="23"/>
          <w:szCs w:val="23"/>
          <w:rtl/>
        </w:rPr>
        <w:t xml:space="preserve">8.2 IC-2 اختراق بيانات اعتماد</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6" w:id="446"/>
      <w:r>
        <w:rPr>
          <w:rFonts w:ascii="Arial" w:cs="Arial" w:eastAsia="Arial" w:hAnsi="Arial"/>
          <w:b/>
          <w:bCs/>
          <w:color w:val="2B5C8A"/>
          <w:sz w:val="23"/>
          <w:szCs w:val="23"/>
          <w:rtl/>
        </w:rPr>
        <w:t xml:space="preserve">8.3 IC-3 اختراق مفتاح</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7" w:id="447"/>
      <w:r>
        <w:rPr>
          <w:rFonts w:ascii="Arial" w:cs="Arial" w:eastAsia="Arial" w:hAnsi="Arial"/>
          <w:b/>
          <w:bCs/>
          <w:color w:val="2B5C8A"/>
          <w:sz w:val="23"/>
          <w:szCs w:val="23"/>
          <w:rtl/>
        </w:rPr>
        <w:t xml:space="preserve">8.4 IC-4 برمجية فدية أو فقد الخادم أو اختراقه</w:t>
      </w:r>
      <w:bookmarkEnd w:id="447"/>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8" w:id="448"/>
      <w:r>
        <w:rPr>
          <w:rFonts w:ascii="Arial" w:cs="Arial" w:eastAsia="Arial" w:hAnsi="Arial"/>
          <w:b/>
          <w:bCs/>
          <w:color w:val="2B5C8A"/>
          <w:sz w:val="23"/>
          <w:szCs w:val="23"/>
          <w:rtl/>
        </w:rPr>
        <w:t xml:space="preserve">8.5 IC-5 إلى IC-9 باختصار</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9. حفظ الأدلة</w:t>
      </w:r>
      <w:bookmarkEnd w:id="449"/>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0" w:id="450"/>
      <w:r>
        <w:rPr>
          <w:rFonts w:ascii="Arial" w:cs="Arial" w:eastAsia="Arial" w:hAnsi="Arial"/>
          <w:b/>
          <w:bCs/>
          <w:color w:val="2B5C8A"/>
          <w:sz w:val="26"/>
          <w:szCs w:val="26"/>
          <w:rtl/>
        </w:rPr>
        <w:t xml:space="preserve">10. الإخطار</w:t>
      </w:r>
      <w:bookmarkEnd w:id="450"/>
    </w:p>
    <w:p>
      <w:pPr>
        <w:pStyle w:val="Heading3"/>
        <w:bidi/>
      </w:pPr>
      <w:bookmarkStart w:name="_sec451" w:id="451"/>
      <w:r>
        <w:rPr>
          <w:rFonts w:ascii="Arial" w:cs="Arial" w:eastAsia="Arial" w:hAnsi="Arial"/>
          <w:b/>
          <w:bCs/>
          <w:color w:val="2B5C8A"/>
          <w:sz w:val="23"/>
          <w:szCs w:val="23"/>
          <w:rtl/>
        </w:rPr>
        <w:t xml:space="preserve">10.1 تقييم الخرق</w:t>
      </w:r>
      <w:bookmarkEnd w:id="451"/>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2" w:id="452"/>
      <w:r>
        <w:rPr>
          <w:rFonts w:ascii="Arial" w:cs="Arial" w:eastAsia="Arial" w:hAnsi="Arial"/>
          <w:b/>
          <w:bCs/>
          <w:color w:val="2B5C8A"/>
          <w:sz w:val="23"/>
          <w:szCs w:val="23"/>
          <w:rtl/>
        </w:rPr>
        <w:t xml:space="preserve">10.2 إلى المشترك</w:t>
      </w:r>
      <w:bookmarkEnd w:id="452"/>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3" w:id="453"/>
      <w:r>
        <w:rPr>
          <w:rFonts w:ascii="Arial" w:cs="Arial" w:eastAsia="Arial" w:hAnsi="Arial"/>
          <w:b/>
          <w:bCs/>
          <w:color w:val="2B5C8A"/>
          <w:sz w:val="23"/>
          <w:szCs w:val="23"/>
          <w:rtl/>
        </w:rPr>
        <w:t xml:space="preserve">10.3 إلى الجهات المختصة</w:t>
      </w:r>
      <w:bookmarkEnd w:id="453"/>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4" w:id="454"/>
      <w:r>
        <w:rPr>
          <w:rFonts w:ascii="Arial" w:cs="Arial" w:eastAsia="Arial" w:hAnsi="Arial"/>
          <w:b/>
          <w:bCs/>
          <w:color w:val="2B5C8A"/>
          <w:sz w:val="23"/>
          <w:szCs w:val="23"/>
          <w:rtl/>
        </w:rPr>
        <w:t xml:space="preserve">10.4 من المعالجين الفرعيين وإليهم</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5" w:id="455"/>
      <w:r>
        <w:rPr>
          <w:rFonts w:ascii="Arial" w:cs="Arial" w:eastAsia="Arial" w:hAnsi="Arial"/>
          <w:b/>
          <w:bCs/>
          <w:color w:val="2B5C8A"/>
          <w:sz w:val="23"/>
          <w:szCs w:val="23"/>
          <w:rtl/>
        </w:rPr>
        <w:t xml:space="preserve">10.5 سجل الإخطار</w:t>
      </w:r>
      <w:bookmarkEnd w:id="455"/>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6" w:id="456"/>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6"/>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7" w:id="457"/>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8" w:id="458"/>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14.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15. تعارضات وفجوات في المصادر</w:t>
      </w:r>
      <w:bookmarkEnd w:id="460"/>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1" w:id="461"/>
      <w:r>
        <w:rPr>
          <w:rFonts w:ascii="Arial" w:cs="Arial" w:eastAsia="Arial" w:hAnsi="Arial"/>
          <w:b/>
          <w:bCs/>
          <w:color w:val="2B5C8A"/>
          <w:sz w:val="26"/>
          <w:szCs w:val="26"/>
          <w:rtl/>
        </w:rPr>
        <w:t xml:space="preserve">16.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DOC-B06 — مواصفة بيانات الاختبار والتجهيل</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4" w:id="464"/>
      <w:r>
        <w:rPr>
          <w:rFonts w:ascii="Arial" w:cs="Arial" w:eastAsia="Arial" w:hAnsi="Arial"/>
          <w:b/>
          <w:bCs/>
          <w:color w:val="2B5C8A"/>
          <w:sz w:val="26"/>
          <w:szCs w:val="26"/>
          <w:rtl/>
        </w:rPr>
        <w:t xml:space="preserve">2. ما يوجد اليوم</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5" w:id="465"/>
      <w:r>
        <w:rPr>
          <w:rFonts w:ascii="Arial" w:cs="Arial" w:eastAsia="Arial" w:hAnsi="Arial"/>
          <w:b/>
          <w:bCs/>
          <w:color w:val="2B5C8A"/>
          <w:sz w:val="26"/>
          <w:szCs w:val="26"/>
          <w:rtl/>
        </w:rPr>
        <w:t xml:space="preserve">3. مجموعات البيانات</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6" w:id="466"/>
      <w:r>
        <w:rPr>
          <w:rFonts w:ascii="Arial" w:cs="Arial" w:eastAsia="Arial" w:hAnsi="Arial"/>
          <w:b/>
          <w:bCs/>
          <w:color w:val="2B5C8A"/>
          <w:sz w:val="26"/>
          <w:szCs w:val="26"/>
          <w:rtl/>
        </w:rPr>
        <w:t xml:space="preserve">4. القواعد بحسب التصنيف</w:t>
      </w:r>
      <w:bookmarkEnd w:id="466"/>
    </w:p>
    <w:p>
      <w:pPr>
        <w:pStyle w:val="Heading3"/>
        <w:bidi/>
      </w:pPr>
      <w:bookmarkStart w:name="_sec467" w:id="467"/>
      <w:r>
        <w:rPr>
          <w:rFonts w:ascii="Arial" w:cs="Arial" w:eastAsia="Arial" w:hAnsi="Arial"/>
          <w:b/>
          <w:bCs/>
          <w:color w:val="2B5C8A"/>
          <w:sz w:val="23"/>
          <w:szCs w:val="23"/>
          <w:rtl/>
        </w:rPr>
        <w:t xml:space="preserve">4.1 لكل مستوى</w:t>
      </w:r>
      <w:bookmarkEnd w:id="467"/>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8" w:id="468"/>
      <w:r>
        <w:rPr>
          <w:rFonts w:ascii="Arial" w:cs="Arial" w:eastAsia="Arial" w:hAnsi="Arial"/>
          <w:b/>
          <w:bCs/>
          <w:color w:val="2B5C8A"/>
          <w:sz w:val="23"/>
          <w:szCs w:val="23"/>
          <w:rtl/>
        </w:rPr>
        <w:t xml:space="preserve">4.2 لكل نوع حقل</w:t>
      </w:r>
      <w:bookmarkEnd w:id="4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69" w:id="469"/>
      <w:r>
        <w:rPr>
          <w:rFonts w:ascii="Arial" w:cs="Arial" w:eastAsia="Arial" w:hAnsi="Arial"/>
          <w:b/>
          <w:bCs/>
          <w:color w:val="2B5C8A"/>
          <w:sz w:val="26"/>
          <w:szCs w:val="26"/>
          <w:rtl/>
        </w:rPr>
        <w:t xml:space="preserve">5. المولّدات</w:t>
      </w:r>
      <w:bookmarkEnd w:id="469"/>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0" w:id="470"/>
      <w:r>
        <w:rPr>
          <w:rFonts w:ascii="Arial" w:cs="Arial" w:eastAsia="Arial" w:hAnsi="Arial"/>
          <w:b/>
          <w:bCs/>
          <w:color w:val="2B5C8A"/>
          <w:sz w:val="26"/>
          <w:szCs w:val="26"/>
          <w:rtl/>
        </w:rPr>
        <w:t xml:space="preserve">6. الاتفاقيات الأربع والنماذج الثلاثة</w:t>
      </w:r>
      <w:bookmarkEnd w:id="470"/>
    </w:p>
    <w:p>
      <w:pPr>
        <w:pStyle w:val="Heading3"/>
        <w:bidi/>
      </w:pPr>
      <w:bookmarkStart w:name="_sec471" w:id="471"/>
      <w:r>
        <w:rPr>
          <w:rFonts w:ascii="Arial" w:cs="Arial" w:eastAsia="Arial" w:hAnsi="Arial"/>
          <w:b/>
          <w:bCs/>
          <w:color w:val="2B5C8A"/>
          <w:sz w:val="23"/>
          <w:szCs w:val="23"/>
          <w:rtl/>
        </w:rPr>
        <w:t xml:space="preserve">6.1 ما هي</w:t>
      </w:r>
      <w:bookmarkEnd w:id="4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2" w:id="472"/>
      <w:r>
        <w:rPr>
          <w:rFonts w:ascii="Arial" w:cs="Arial" w:eastAsia="Arial" w:hAnsi="Arial"/>
          <w:b/>
          <w:bCs/>
          <w:color w:val="2B5C8A"/>
          <w:sz w:val="23"/>
          <w:szCs w:val="23"/>
          <w:rtl/>
        </w:rPr>
        <w:t xml:space="preserve">6.2 الإجراء</w:t>
      </w:r>
      <w:bookmarkEnd w:id="472"/>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3" w:id="473"/>
      <w:r>
        <w:rPr>
          <w:rFonts w:ascii="Arial" w:cs="Arial" w:eastAsia="Arial" w:hAnsi="Arial"/>
          <w:b/>
          <w:bCs/>
          <w:color w:val="2B5C8A"/>
          <w:sz w:val="23"/>
          <w:szCs w:val="23"/>
          <w:rtl/>
        </w:rPr>
        <w:t xml:space="preserve">6.3 ما يبقى وما يُستبدل في حزم الاتفاقيات</w:t>
      </w:r>
      <w:bookmarkEnd w:id="4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6.4 النماذج الثلاثة</w:t>
      </w:r>
      <w:bookmarkEnd w:id="474"/>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5" w:id="475"/>
      <w:r>
        <w:rPr>
          <w:rFonts w:ascii="Arial" w:cs="Arial" w:eastAsia="Arial" w:hAnsi="Arial"/>
          <w:b/>
          <w:bCs/>
          <w:color w:val="2B5C8A"/>
          <w:sz w:val="23"/>
          <w:szCs w:val="23"/>
          <w:rtl/>
        </w:rPr>
        <w:t xml:space="preserve">6.5 قبول S2 بالاتفاقيات الأربع</w:t>
      </w:r>
      <w:bookmarkEnd w:id="475"/>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6" w:id="476"/>
      <w:r>
        <w:rPr>
          <w:rFonts w:ascii="Arial" w:cs="Arial" w:eastAsia="Arial" w:hAnsi="Arial"/>
          <w:b/>
          <w:bCs/>
          <w:color w:val="2B5C8A"/>
          <w:sz w:val="26"/>
          <w:szCs w:val="26"/>
          <w:rtl/>
        </w:rPr>
        <w:t xml:space="preserve">7. ما لا يغادر الإنتاج أبدًا</w:t>
      </w:r>
      <w:bookmarkEnd w:id="476"/>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7" w:id="477"/>
      <w:r>
        <w:rPr>
          <w:rFonts w:ascii="Arial" w:cs="Arial" w:eastAsia="Arial" w:hAnsi="Arial"/>
          <w:b/>
          <w:bCs/>
          <w:color w:val="2B5C8A"/>
          <w:sz w:val="26"/>
          <w:szCs w:val="26"/>
          <w:rtl/>
        </w:rPr>
        <w:t xml:space="preserve">8. تهيئة بيئات الاختبار</w:t>
      </w:r>
      <w:bookmarkEnd w:id="477"/>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8" w:id="478"/>
      <w:r>
        <w:rPr>
          <w:rFonts w:ascii="Arial" w:cs="Arial" w:eastAsia="Arial" w:hAnsi="Arial"/>
          <w:b/>
          <w:bCs/>
          <w:color w:val="2B5C8A"/>
          <w:sz w:val="26"/>
          <w:szCs w:val="26"/>
          <w:rtl/>
        </w:rPr>
        <w:t xml:space="preserve">9. التحقق من غياب القيم الحقيقية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79" w:id="479"/>
      <w:r>
        <w:rPr>
          <w:rFonts w:ascii="Arial" w:cs="Arial" w:eastAsia="Arial" w:hAnsi="Arial"/>
          <w:b/>
          <w:bCs/>
          <w:color w:val="2B5C8A"/>
          <w:sz w:val="26"/>
          <w:szCs w:val="26"/>
          <w:rtl/>
        </w:rPr>
        <w:t xml:space="preserve">10. من يطّلع على ماذا</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0" w:id="480"/>
      <w:r>
        <w:rPr>
          <w:rFonts w:ascii="Arial" w:cs="Arial" w:eastAsia="Arial" w:hAnsi="Arial"/>
          <w:b/>
          <w:bCs/>
          <w:color w:val="2B5C8A"/>
          <w:sz w:val="26"/>
          <w:szCs w:val="26"/>
          <w:rtl/>
        </w:rPr>
        <w:t xml:space="preserve">11. القرارات المطلوبة</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1" w:id="481"/>
      <w:r>
        <w:rPr>
          <w:rFonts w:ascii="Arial" w:cs="Arial" w:eastAsia="Arial" w:hAnsi="Arial"/>
          <w:b/>
          <w:bCs/>
          <w:color w:val="2B5C8A"/>
          <w:sz w:val="26"/>
          <w:szCs w:val="26"/>
          <w:rtl/>
        </w:rPr>
        <w:t xml:space="preserve">12. تعارضات وفجوات في المصادر</w:t>
      </w:r>
      <w:bookmarkEnd w:id="481"/>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2" w:id="482"/>
      <w:r>
        <w:rPr>
          <w:rFonts w:ascii="Arial" w:cs="Arial" w:eastAsia="Arial" w:hAnsi="Arial"/>
          <w:b/>
          <w:bCs/>
          <w:color w:val="2B5C8A"/>
          <w:sz w:val="26"/>
          <w:szCs w:val="26"/>
          <w:rtl/>
        </w:rPr>
        <w:t xml:space="preserve">13. التتبع</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3" w:id="483"/>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1. الغرض والنطاق</w:t>
      </w:r>
      <w:bookmarkEnd w:id="484"/>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5" w:id="485"/>
      <w:r>
        <w:rPr>
          <w:rFonts w:ascii="Arial" w:cs="Arial" w:eastAsia="Arial" w:hAnsi="Arial"/>
          <w:b/>
          <w:bCs/>
          <w:color w:val="2B5C8A"/>
          <w:sz w:val="26"/>
          <w:szCs w:val="26"/>
          <w:rtl/>
        </w:rPr>
        <w:t xml:space="preserve">2. طريقة التوليد</w:t>
      </w:r>
      <w:bookmarkEnd w:id="485"/>
    </w:p>
    <w:p>
      <w:pPr>
        <w:pStyle w:val="Heading3"/>
        <w:bidi/>
      </w:pPr>
      <w:bookmarkStart w:name="_sec486" w:id="486"/>
      <w:r>
        <w:rPr>
          <w:rFonts w:ascii="Arial" w:cs="Arial" w:eastAsia="Arial" w:hAnsi="Arial"/>
          <w:b/>
          <w:bCs/>
          <w:color w:val="2B5C8A"/>
          <w:sz w:val="23"/>
          <w:szCs w:val="23"/>
          <w:rtl/>
        </w:rPr>
        <w:t xml:space="preserve">2.1 السلسلة</w:t>
      </w:r>
      <w:bookmarkEnd w:id="486"/>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7" w:id="487"/>
      <w:r>
        <w:rPr>
          <w:rFonts w:ascii="Arial" w:cs="Arial" w:eastAsia="Arial" w:hAnsi="Arial"/>
          <w:b/>
          <w:bCs/>
          <w:color w:val="2B5C8A"/>
          <w:sz w:val="23"/>
          <w:szCs w:val="23"/>
          <w:rtl/>
        </w:rPr>
        <w:t xml:space="preserve">2.2 قاعدة كل عمود</w:t>
      </w:r>
      <w:bookmarkEnd w:id="4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8" w:id="488"/>
      <w:r>
        <w:rPr>
          <w:rFonts w:ascii="Arial" w:cs="Arial" w:eastAsia="Arial" w:hAnsi="Arial"/>
          <w:b/>
          <w:bCs/>
          <w:color w:val="2B5C8A"/>
          <w:sz w:val="23"/>
          <w:szCs w:val="23"/>
          <w:rtl/>
        </w:rPr>
        <w:t xml:space="preserve">2.3 المدخلات والأعداد</w:t>
      </w:r>
      <w:bookmarkEnd w:id="488"/>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89" w:id="489"/>
      <w:r>
        <w:rPr>
          <w:rFonts w:ascii="Arial" w:cs="Arial" w:eastAsia="Arial" w:hAnsi="Arial"/>
          <w:b/>
          <w:bCs/>
          <w:color w:val="2B5C8A"/>
          <w:sz w:val="23"/>
          <w:szCs w:val="23"/>
          <w:rtl/>
        </w:rPr>
        <w:t xml:space="preserve">2.4 التغطية</w:t>
      </w:r>
      <w:bookmarkEnd w:id="4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3. المصفوفة</w:t>
      </w:r>
      <w:bookmarkEnd w:id="490"/>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1" w:id="491"/>
      <w:r>
        <w:rPr>
          <w:rFonts w:ascii="Arial" w:cs="Arial" w:eastAsia="Arial" w:hAnsi="Arial"/>
          <w:b/>
          <w:bCs/>
          <w:color w:val="2B5C8A"/>
          <w:sz w:val="23"/>
          <w:szCs w:val="23"/>
          <w:rtl/>
        </w:rPr>
        <w:t xml:space="preserve">S0 — PLT (38)</w:t>
      </w:r>
      <w:bookmarkEnd w:id="4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2" w:id="492"/>
      <w:r>
        <w:rPr>
          <w:rFonts w:ascii="Arial" w:cs="Arial" w:eastAsia="Arial" w:hAnsi="Arial"/>
          <w:b/>
          <w:bCs/>
          <w:color w:val="2B5C8A"/>
          <w:sz w:val="23"/>
          <w:szCs w:val="23"/>
          <w:rtl/>
        </w:rPr>
        <w:t xml:space="preserve">S1 — PLT (2)</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ORG (14)</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PTY (23)</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INS (21)</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ACC (10)</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CAT (23)</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NTF (15)</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99" w:id="499"/>
      <w:r>
        <w:rPr>
          <w:rFonts w:ascii="Arial" w:cs="Arial" w:eastAsia="Arial" w:hAnsi="Arial"/>
          <w:b/>
          <w:bCs/>
          <w:color w:val="2B5C8A"/>
          <w:sz w:val="26"/>
          <w:szCs w:val="26"/>
          <w:rtl/>
        </w:rPr>
        <w:t xml:space="preserve">4. الفجوات التي تكشفها المصفوفة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0" w:id="500"/>
      <w:r>
        <w:rPr>
          <w:rFonts w:ascii="Arial" w:cs="Arial" w:eastAsia="Arial" w:hAnsi="Arial"/>
          <w:b/>
          <w:bCs/>
          <w:color w:val="2B5C8A"/>
          <w:sz w:val="26"/>
          <w:szCs w:val="26"/>
          <w:rtl/>
        </w:rPr>
        <w:t xml:space="preserve">5. قواعد إبقاء المصفوفة حديثة</w:t>
      </w:r>
      <w:bookmarkEnd w:id="500"/>
    </w:p>
    <w:p>
      <w:pPr>
        <w:pStyle w:val="Heading3"/>
        <w:bidi/>
      </w:pPr>
      <w:bookmarkStart w:name="_sec501" w:id="501"/>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1"/>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2" w:id="502"/>
      <w:r>
        <w:rPr>
          <w:rFonts w:ascii="Arial" w:cs="Arial" w:eastAsia="Arial" w:hAnsi="Arial"/>
          <w:b/>
          <w:bCs/>
          <w:color w:val="2B5C8A"/>
          <w:sz w:val="23"/>
          <w:szCs w:val="23"/>
          <w:rtl/>
        </w:rPr>
        <w:t xml:space="preserve">5.2 الوسوم في المصادر</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3" w:id="503"/>
      <w:r>
        <w:rPr>
          <w:rFonts w:ascii="Arial" w:cs="Arial" w:eastAsia="Arial" w:hAnsi="Arial"/>
          <w:b/>
          <w:bCs/>
          <w:color w:val="2B5C8A"/>
          <w:sz w:val="23"/>
          <w:szCs w:val="23"/>
          <w:rtl/>
        </w:rPr>
        <w:t xml:space="preserve">5.3 الفحوص الآلية</w:t>
      </w:r>
      <w:bookmarkEnd w:id="503"/>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4" w:id="504"/>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4"/>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5" w:id="505"/>
      <w:r>
        <w:rPr>
          <w:rFonts w:ascii="Arial" w:cs="Arial" w:eastAsia="Arial" w:hAnsi="Arial"/>
          <w:b/>
          <w:bCs/>
          <w:color w:val="2B5C8A"/>
          <w:sz w:val="23"/>
          <w:szCs w:val="23"/>
          <w:rtl/>
        </w:rPr>
        <w:t xml:space="preserve">5.5 الملكية والمراجعة</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6" w:id="506"/>
      <w:r>
        <w:rPr>
          <w:rFonts w:ascii="Arial" w:cs="Arial" w:eastAsia="Arial" w:hAnsi="Arial"/>
          <w:b/>
          <w:bCs/>
          <w:color w:val="2B5C8A"/>
          <w:sz w:val="26"/>
          <w:szCs w:val="26"/>
          <w:rtl/>
        </w:rPr>
        <w:t xml:space="preserve">6. القرارات المطلوبة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7. تعارضات وفجوات في المصادر</w:t>
      </w:r>
      <w:bookmarkEnd w:id="507"/>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255 جدولًا و4,200 عمود،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8" w:id="508"/>
      <w:r>
        <w:rPr>
          <w:rFonts w:ascii="Arial" w:cs="Arial" w:eastAsia="Arial" w:hAnsi="Arial"/>
          <w:b/>
          <w:bCs/>
          <w:color w:val="2B5C8A"/>
          <w:sz w:val="26"/>
          <w:szCs w:val="26"/>
          <w:rtl/>
        </w:rPr>
        <w:t xml:space="preserve">8. التتبع</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09" w:id="509"/>
      <w:r>
        <w:rPr>
          <w:rFonts w:ascii="Arial" w:cs="Arial" w:eastAsia="Arial" w:hAnsi="Arial"/>
          <w:b/>
          <w:bCs/>
          <w:color w:val="1F3A5F"/>
          <w:sz w:val="32"/>
          <w:szCs w:val="32"/>
          <w:rtl/>
        </w:rPr>
        <w:t xml:space="preserve">DOC-B12 — خطة قبول المستخدم والإطلاق التجريبي</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 الغرض والنطاق</w:t>
      </w:r>
      <w:bookmarkEnd w:id="510"/>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1" w:id="511"/>
      <w:r>
        <w:rPr>
          <w:rFonts w:ascii="Arial" w:cs="Arial" w:eastAsia="Arial" w:hAnsi="Arial"/>
          <w:b/>
          <w:bCs/>
          <w:color w:val="2B5C8A"/>
          <w:sz w:val="26"/>
          <w:szCs w:val="26"/>
          <w:rtl/>
        </w:rPr>
        <w:t xml:space="preserve">2. الأساس في المصادر</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2" w:id="512"/>
      <w:r>
        <w:rPr>
          <w:rFonts w:ascii="Arial" w:cs="Arial" w:eastAsia="Arial" w:hAnsi="Arial"/>
          <w:b/>
          <w:bCs/>
          <w:color w:val="2B5C8A"/>
          <w:sz w:val="26"/>
          <w:szCs w:val="26"/>
          <w:rtl/>
        </w:rPr>
        <w:t xml:space="preserve">3. المسار من UAT إلى الإطلاق</w:t>
      </w:r>
      <w:bookmarkEnd w:id="512"/>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3" w:id="513"/>
      <w:r>
        <w:rPr>
          <w:rFonts w:ascii="Arial" w:cs="Arial" w:eastAsia="Arial" w:hAnsi="Arial"/>
          <w:b/>
          <w:bCs/>
          <w:color w:val="2B5C8A"/>
          <w:sz w:val="26"/>
          <w:szCs w:val="26"/>
          <w:rtl/>
        </w:rPr>
        <w:t xml:space="preserve">4. نطاق UAT لكل خروج شريحة</w:t>
      </w:r>
      <w:bookmarkEnd w:id="5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4" w:id="514"/>
      <w:r>
        <w:rPr>
          <w:rFonts w:ascii="Arial" w:cs="Arial" w:eastAsia="Arial" w:hAnsi="Arial"/>
          <w:b/>
          <w:bCs/>
          <w:color w:val="2B5C8A"/>
          <w:sz w:val="26"/>
          <w:szCs w:val="26"/>
          <w:rtl/>
        </w:rPr>
        <w:t xml:space="preserve">5. المشاركون</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5" w:id="515"/>
      <w:r>
        <w:rPr>
          <w:rFonts w:ascii="Arial" w:cs="Arial" w:eastAsia="Arial" w:hAnsi="Arial"/>
          <w:b/>
          <w:bCs/>
          <w:color w:val="2B5C8A"/>
          <w:sz w:val="26"/>
          <w:szCs w:val="26"/>
          <w:rtl/>
        </w:rPr>
        <w:t xml:space="preserve">6. البيانات</w:t>
      </w:r>
      <w:bookmarkEnd w:id="515"/>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6" w:id="516"/>
      <w:r>
        <w:rPr>
          <w:rFonts w:ascii="Arial" w:cs="Arial" w:eastAsia="Arial" w:hAnsi="Arial"/>
          <w:b/>
          <w:bCs/>
          <w:color w:val="2B5C8A"/>
          <w:sz w:val="26"/>
          <w:szCs w:val="26"/>
          <w:rtl/>
        </w:rPr>
        <w:t xml:space="preserve">7. معايير الدخول والخروج ومعالجة العيوب</w:t>
      </w:r>
      <w:bookmarkEnd w:id="516"/>
    </w:p>
    <w:p>
      <w:pPr>
        <w:pStyle w:val="Heading3"/>
        <w:bidi/>
      </w:pPr>
      <w:bookmarkStart w:name="_sec517" w:id="517"/>
      <w:r>
        <w:rPr>
          <w:rFonts w:ascii="Arial" w:cs="Arial" w:eastAsia="Arial" w:hAnsi="Arial"/>
          <w:b/>
          <w:bCs/>
          <w:color w:val="2B5C8A"/>
          <w:sz w:val="23"/>
          <w:szCs w:val="23"/>
          <w:rtl/>
        </w:rPr>
        <w:t xml:space="preserve">7.1 دخول دورة UAT</w:t>
      </w:r>
      <w:bookmarkEnd w:id="5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8" w:id="518"/>
      <w:r>
        <w:rPr>
          <w:rFonts w:ascii="Arial" w:cs="Arial" w:eastAsia="Arial" w:hAnsi="Arial"/>
          <w:b/>
          <w:bCs/>
          <w:color w:val="2B5C8A"/>
          <w:sz w:val="23"/>
          <w:szCs w:val="23"/>
          <w:rtl/>
        </w:rPr>
        <w:t xml:space="preserve">7.2 خروج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7.3 معالجة العيوب</w:t>
      </w:r>
      <w:bookmarkEnd w:id="519"/>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0" w:id="520"/>
      <w:r>
        <w:rPr>
          <w:rFonts w:ascii="Arial" w:cs="Arial" w:eastAsia="Arial" w:hAnsi="Arial"/>
          <w:b/>
          <w:bCs/>
          <w:color w:val="2B5C8A"/>
          <w:sz w:val="26"/>
          <w:szCs w:val="26"/>
          <w:rtl/>
        </w:rPr>
        <w:t xml:space="preserve">8. الإطلاق التجريبي لمشترك واحد</w:t>
      </w:r>
      <w:bookmarkEnd w:id="520"/>
    </w:p>
    <w:p>
      <w:pPr>
        <w:pStyle w:val="Heading3"/>
        <w:bidi/>
      </w:pPr>
      <w:bookmarkStart w:name="_sec521" w:id="521"/>
      <w:r>
        <w:rPr>
          <w:rFonts w:ascii="Arial" w:cs="Arial" w:eastAsia="Arial" w:hAnsi="Arial"/>
          <w:b/>
          <w:bCs/>
          <w:color w:val="2B5C8A"/>
          <w:sz w:val="23"/>
          <w:szCs w:val="23"/>
          <w:rtl/>
        </w:rPr>
        <w:t xml:space="preserve">8.1 الشكل</w:t>
      </w:r>
      <w:bookmarkEnd w:id="5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2" w:id="522"/>
      <w:r>
        <w:rPr>
          <w:rFonts w:ascii="Arial" w:cs="Arial" w:eastAsia="Arial" w:hAnsi="Arial"/>
          <w:b/>
          <w:bCs/>
          <w:color w:val="2B5C8A"/>
          <w:sz w:val="23"/>
          <w:szCs w:val="23"/>
          <w:rtl/>
        </w:rPr>
        <w:t xml:space="preserve">8.2 المراحل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4" w:id="524"/>
      <w:r>
        <w:rPr>
          <w:rFonts w:ascii="Arial" w:cs="Arial" w:eastAsia="Arial" w:hAnsi="Arial"/>
          <w:b/>
          <w:bCs/>
          <w:color w:val="2B5C8A"/>
          <w:sz w:val="26"/>
          <w:szCs w:val="26"/>
          <w:rtl/>
        </w:rPr>
        <w:t xml:space="preserve">9. قائمة قرار التجربة والإطلاق</w:t>
      </w:r>
      <w:bookmarkEnd w:id="524"/>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10. التراجع</w:t>
      </w:r>
      <w:bookmarkEnd w:id="525"/>
    </w:p>
    <w:p>
      <w:pPr>
        <w:pStyle w:val="Heading3"/>
        <w:bidi/>
      </w:pPr>
      <w:bookmarkStart w:name="_sec526" w:id="526"/>
      <w:r>
        <w:rPr>
          <w:rFonts w:ascii="Arial" w:cs="Arial" w:eastAsia="Arial" w:hAnsi="Arial"/>
          <w:b/>
          <w:bCs/>
          <w:color w:val="2B5C8A"/>
          <w:sz w:val="23"/>
          <w:szCs w:val="23"/>
          <w:rtl/>
        </w:rPr>
        <w:t xml:space="preserve">10.1 أثناء النشر</w:t>
      </w:r>
      <w:bookmarkEnd w:id="526"/>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7" w:id="527"/>
      <w:r>
        <w:rPr>
          <w:rFonts w:ascii="Arial" w:cs="Arial" w:eastAsia="Arial" w:hAnsi="Arial"/>
          <w:b/>
          <w:bCs/>
          <w:color w:val="2B5C8A"/>
          <w:sz w:val="23"/>
          <w:szCs w:val="23"/>
          <w:rtl/>
        </w:rPr>
        <w:t xml:space="preserve">10.2 أثناء التجربة</w:t>
      </w:r>
      <w:bookmarkEnd w:id="5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8" w:id="528"/>
      <w:r>
        <w:rPr>
          <w:rFonts w:ascii="Arial" w:cs="Arial" w:eastAsia="Arial" w:hAnsi="Arial"/>
          <w:b/>
          <w:bCs/>
          <w:color w:val="2B5C8A"/>
          <w:sz w:val="23"/>
          <w:szCs w:val="23"/>
          <w:rtl/>
        </w:rPr>
        <w:t xml:space="preserve">10.3 إيقاف التجربة</w:t>
      </w:r>
      <w:bookmarkEnd w:id="528"/>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29" w:id="529"/>
      <w:r>
        <w:rPr>
          <w:rFonts w:ascii="Arial" w:cs="Arial" w:eastAsia="Arial" w:hAnsi="Arial"/>
          <w:b/>
          <w:bCs/>
          <w:color w:val="2B5C8A"/>
          <w:sz w:val="26"/>
          <w:szCs w:val="26"/>
          <w:rtl/>
        </w:rPr>
        <w:t xml:space="preserve">11. القرارات المطلوبة</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12. تعارضات وفجوات في المصادر</w:t>
      </w:r>
      <w:bookmarkEnd w:id="530"/>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1" w:id="531"/>
      <w:r>
        <w:rPr>
          <w:rFonts w:ascii="Arial" w:cs="Arial" w:eastAsia="Arial" w:hAnsi="Arial"/>
          <w:b/>
          <w:bCs/>
          <w:color w:val="2B5C8A"/>
          <w:sz w:val="26"/>
          <w:szCs w:val="26"/>
          <w:rtl/>
        </w:rPr>
        <w:t xml:space="preserve">13. التتبع</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a4543eea0953256cd6eb549cf9f7e29ad71c7e.png"/><Relationship Id="rId10" Type="http://schemas.openxmlformats.org/officeDocument/2006/relationships/image" Target="media/8e7d3d43eba40c3f425e14d57287a10437467c73.png"/><Relationship Id="rId11" Type="http://schemas.openxmlformats.org/officeDocument/2006/relationships/image" Target="media/e5f262f1d8efb55aeefc5527bdfbb7ddde67a1a0.png"/><Relationship Id="rId12" Type="http://schemas.openxmlformats.org/officeDocument/2006/relationships/image" Target="media/167f97710a753f34c007d0dd7a9c723853c3fc5a.png"/><Relationship Id="rId13" Type="http://schemas.openxmlformats.org/officeDocument/2006/relationships/image" Target="media/171636a8c3d4929f5340a063d6566e8197872bb6.png"/><Relationship Id="rId14" Type="http://schemas.openxmlformats.org/officeDocument/2006/relationships/image" Target="media/6edc1b3f245cf6b61c5365bc6a84a2ef721ca193.png"/><Relationship Id="rId15" Type="http://schemas.openxmlformats.org/officeDocument/2006/relationships/image" Target="media/3cf150921eed13e17e1785efee779aca4310c212.png"/><Relationship Id="rId16" Type="http://schemas.openxmlformats.org/officeDocument/2006/relationships/image" Target="media/9683dca383a44d29ee4702e6bc8c85b655737442.png"/><Relationship Id="rId17" Type="http://schemas.openxmlformats.org/officeDocument/2006/relationships/image" Target="media/38db8406518b1a3dc7a191274c43d378cf54c4ba.png"/><Relationship Id="rId18" Type="http://schemas.openxmlformats.org/officeDocument/2006/relationships/image" Target="media/1145287afcd24b0f38d5f3a7df2040ee1211a735.png"/><Relationship Id="rId19" Type="http://schemas.openxmlformats.org/officeDocument/2006/relationships/image" Target="media/0703e96f7c612057e936aded193e9327f31fd179.png"/><Relationship Id="rId20" Type="http://schemas.openxmlformats.org/officeDocument/2006/relationships/image" Target="media/9365c17d98ac2127ec6f0f372e03ea11c998f117.png"/><Relationship Id="rId21" Type="http://schemas.openxmlformats.org/officeDocument/2006/relationships/image" Target="media/a18f1509c6d72d5284f9259e3feabd0b708b24cb.png"/><Relationship Id="rId22" Type="http://schemas.openxmlformats.org/officeDocument/2006/relationships/image" Target="media/1931f73df8531080c2013506538ff254b689b4d6.png"/><Relationship Id="rId23" Type="http://schemas.openxmlformats.org/officeDocument/2006/relationships/image" Target="media/1d7eaf3c04b1d7fe802d6e105be42fd78a000f33.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bd68ea1677e246eb0397bccf203c82ce146d86d6.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2026-10-22T20:58:09.766Z</dcterms:created>
  <dcterms:modified xsi:type="dcterms:W3CDTF">2026-10-22T20:58:09.767Z</dcterms:modified>
</cp:coreProperties>
</file>

<file path=docProps/custom.xml><?xml version="1.0" encoding="utf-8"?>
<Properties xmlns="http://schemas.openxmlformats.org/officeDocument/2006/custom-properties" xmlns:vt="http://schemas.openxmlformats.org/officeDocument/2006/docPropsVTypes"/>
</file>