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ويُعامَل AC-FAC-11 وAC-FAC-12 معياري خروج إلزاميين حين يعتمد المالك OQ-1 وOQ-17.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2026-10-22T20:47:25.266Z</dcterms:created>
  <dcterms:modified xsi:type="dcterms:W3CDTF">2026-10-22T20:47:25.266Z</dcterms:modified>
</cp:coreProperties>
</file>

<file path=docProps/custom.xml><?xml version="1.0" encoding="utf-8"?>
<Properties xmlns="http://schemas.openxmlformats.org/officeDocument/2006/custom-properties" xmlns:vt="http://schemas.openxmlformats.org/officeDocument/2006/docPropsVTypes"/>
</file>