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المرحلة الثانية: بناء التطبيق — الشريحة S2</w:t>
      </w:r>
    </w:p>
    <w:p>
      <w:pPr>
        <w:bidi/>
        <w:spacing w:after="110" w:before="0" w:line="312"/>
      </w:pPr>
      <w:r>
        <w:rPr>
          <w:rFonts w:ascii="Arial" w:cs="Arial" w:eastAsia="Arial" w:hAnsi="Arial"/>
          <w:b w:val="false"/>
          <w:bCs w:val="false"/>
          <w:sz w:val="21"/>
          <w:szCs w:val="21"/>
          <w:rtl/>
        </w:rPr>
        <w:t xml:space="preserve">التاريخ: 2026-10-22. الطلب 40 في </w:t>
      </w:r>
      <w:r>
        <w:rPr>
          <w:rFonts w:ascii="Courier New" w:cs="Courier New" w:eastAsia="Courier New" w:hAnsi="Courier New"/>
          <w:b w:val="false"/>
          <w:bCs w:val="false"/>
          <w:color w:val="1F2937"/>
          <w:sz w:val="18"/>
          <w:szCs w:val="18"/>
          <w:shd w:fill="F1F3F5" w:color="auto" w:val="clear"/>
          <w:rtl/>
        </w:rPr>
        <w:t xml:space="preserve">‎docs/31‎</w:t>
      </w:r>
      <w:r>
        <w:rPr>
          <w:rFonts w:ascii="Arial" w:cs="Arial" w:eastAsia="Arial" w:hAnsi="Arial"/>
          <w:b w:val="false"/>
          <w:bCs w:val="false"/>
          <w:sz w:val="21"/>
          <w:szCs w:val="21"/>
          <w:rtl/>
        </w:rPr>
        <w:t xml:space="preserve">، والقرار المعماري ADR 0043.</w:t>
      </w:r>
    </w:p>
    <w:p>
      <w:pPr>
        <w:bidi/>
        <w:spacing w:after="110" w:before="0" w:line="312"/>
      </w:pPr>
      <w:r>
        <w:rPr>
          <w:rFonts w:ascii="Arial" w:cs="Arial" w:eastAsia="Arial" w:hAnsi="Arial"/>
          <w:b w:val="false"/>
          <w:bCs w:val="false"/>
          <w:sz w:val="21"/>
          <w:szCs w:val="21"/>
          <w:rtl/>
        </w:rPr>
        <w:t xml:space="preserve">كتب هذا البناء وهذا التقرير وكيلُ ذكاء اصطناعي. وكذلك الحزم الافتراضية والرسائل وحزم الاتفاقيات الاصطناعية DS-AGR، وكلها مقترحة منه تحتاج مراجعة الخزينة.</w:t>
      </w:r>
    </w:p>
    <w:p>
      <w:pPr>
        <w:pStyle w:val="Heading1"/>
        <w:bidi/>
      </w:pPr>
      <w:bookmarkStart w:name="_sec1" w:id="1"/>
      <w:r>
        <w:rPr>
          <w:rFonts w:ascii="Arial" w:cs="Arial" w:eastAsia="Arial" w:hAnsi="Arial"/>
          <w:b/>
          <w:bCs/>
          <w:color w:val="1F3A5F"/>
          <w:sz w:val="32"/>
          <w:szCs w:val="32"/>
          <w:rtl/>
        </w:rPr>
        <w:t xml:space="preserve">1. ما طلبه المالك</w:t>
      </w:r>
      <w:bookmarkEnd w:id="1"/>
    </w:p>
    <w:p>
      <w:pPr>
        <w:pStyle w:val="ListParagraph"/>
        <w:numPr>
          <w:ilvl w:val="0"/>
          <w:numId w:val="2"/>
        </w:numPr>
        <w:bidi/>
        <w:spacing w:after="70" w:before="0" w:line="300"/>
      </w:pPr>
      <w:r>
        <w:rPr>
          <w:rFonts w:ascii="Arial" w:cs="Arial" w:eastAsia="Arial" w:hAnsi="Arial"/>
          <w:b w:val="false"/>
          <w:bCs w:val="false"/>
          <w:sz w:val="21"/>
          <w:szCs w:val="21"/>
          <w:rtl/>
        </w:rPr>
        <w:t xml:space="preserve">«ابدأ ببناء S2»، ثم «تابع البناء بعد انتهاء الدراسة»، ثم «اكمل الخطوة التي بعدها حالما ينتهي الفحص بعد إصلاح الثغرات» و«اكمل».</w:t>
      </w:r>
    </w:p>
    <w:p>
      <w:pPr>
        <w:pStyle w:val="ListParagraph"/>
        <w:numPr>
          <w:ilvl w:val="0"/>
          <w:numId w:val="2"/>
        </w:numPr>
        <w:bidi/>
        <w:spacing w:after="70" w:before="0" w:line="300"/>
      </w:pPr>
      <w:r>
        <w:rPr>
          <w:rFonts w:ascii="Arial" w:cs="Arial" w:eastAsia="Arial" w:hAnsi="Arial"/>
          <w:b w:val="false"/>
          <w:bCs w:val="false"/>
          <w:sz w:val="21"/>
          <w:szCs w:val="21"/>
          <w:rtl/>
        </w:rPr>
        <w:t xml:space="preserve">سبق البناءَ موجزٌ درس عقد قاعدة البيانات لـ S2. وجد 20 ثغرة (S2-GAP-1 إلى 20) و17 سؤالًا مفتوحًا (OQ-1 إلى 17)، ولكل سؤال افتراض مقترح. بُني على هذه الافتراضات، وهي في §4 بانتظار اعتماد المالك.</w:t>
      </w:r>
    </w:p>
    <w:p>
      <w:pPr>
        <w:bidi/>
        <w:spacing w:after="60" w:before="0"/>
      </w:pPr>
    </w:p>
    <w:p>
      <w:pPr>
        <w:bidi/>
        <w:spacing w:after="110" w:before="0" w:line="312"/>
      </w:pPr>
      <w:r>
        <w:rPr>
          <w:rFonts w:ascii="Arial" w:cs="Arial" w:eastAsia="Arial" w:hAnsi="Arial"/>
          <w:b w:val="false"/>
          <w:bCs w:val="false"/>
          <w:sz w:val="21"/>
          <w:szCs w:val="21"/>
          <w:rtl/>
        </w:rPr>
        <w:t xml:space="preserve">S2 هي وحدة التسهيلات:</w:t>
      </w:r>
    </w:p>
    <w:p>
      <w:pPr>
        <w:pStyle w:val="ListParagraph"/>
        <w:numPr>
          <w:ilvl w:val="0"/>
          <w:numId w:val="2"/>
        </w:numPr>
        <w:bidi/>
        <w:spacing w:after="70" w:before="0" w:line="300"/>
      </w:pPr>
      <w:r>
        <w:rPr>
          <w:rFonts w:ascii="Arial" w:cs="Arial" w:eastAsia="Arial" w:hAnsi="Arial"/>
          <w:b w:val="false"/>
          <w:bCs w:val="false"/>
          <w:sz w:val="21"/>
          <w:szCs w:val="21"/>
          <w:rtl/>
        </w:rPr>
        <w:t xml:space="preserve">حزمة التسهيل: الرأس والمقرضون والمستندات ومراجعات الاتفاقية وسلسلة التجديد والسريان.</w:t>
      </w:r>
    </w:p>
    <w:p>
      <w:pPr>
        <w:pStyle w:val="ListParagraph"/>
        <w:numPr>
          <w:ilvl w:val="0"/>
          <w:numId w:val="2"/>
        </w:numPr>
        <w:bidi/>
        <w:spacing w:after="70" w:before="0" w:line="300"/>
      </w:pPr>
      <w:r>
        <w:rPr>
          <w:rFonts w:ascii="Arial" w:cs="Arial" w:eastAsia="Arial" w:hAnsi="Arial"/>
          <w:b w:val="false"/>
          <w:bCs w:val="false"/>
          <w:sz w:val="21"/>
          <w:szCs w:val="21"/>
          <w:rtl/>
        </w:rPr>
        <w:t xml:space="preserve">شجرة الحدود وأنماط التوزيع، وخطوط المنتجات وشروطها، والمتاح، والاستخدام اليدوي، ونواة الحجز.</w:t>
      </w:r>
    </w:p>
    <w:p>
      <w:pPr>
        <w:pStyle w:val="ListParagraph"/>
        <w:numPr>
          <w:ilvl w:val="0"/>
          <w:numId w:val="2"/>
        </w:numPr>
        <w:bidi/>
        <w:spacing w:after="70" w:before="0" w:line="300"/>
      </w:pPr>
      <w:r>
        <w:rPr>
          <w:rFonts w:ascii="Arial" w:cs="Arial" w:eastAsia="Arial" w:hAnsi="Arial"/>
          <w:b w:val="false"/>
          <w:bCs w:val="false"/>
          <w:sz w:val="21"/>
          <w:szCs w:val="21"/>
          <w:rtl/>
        </w:rPr>
        <w:t xml:space="preserve">تعرفة البنك وقواعد التسعير ومحلّلها.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الضمانات والكفلاء والتغطية، واكتمال ملف الكفيل وحزمته.</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الالتزامات: قواعد التقارير والأجندة والتأخر والمخالفات والتنازلات ولوحة الامتثال.</w:t>
      </w:r>
    </w:p>
    <w:p>
      <w:pPr>
        <w:pStyle w:val="ListParagraph"/>
        <w:numPr>
          <w:ilvl w:val="0"/>
          <w:numId w:val="2"/>
        </w:numPr>
        <w:bidi/>
        <w:spacing w:after="70" w:before="0" w:line="300"/>
      </w:pPr>
      <w:r>
        <w:rPr>
          <w:rFonts w:ascii="Arial" w:cs="Arial" w:eastAsia="Arial" w:hAnsi="Arial"/>
          <w:b w:val="false"/>
          <w:bCs w:val="false"/>
          <w:sz w:val="21"/>
          <w:szCs w:val="21"/>
          <w:rtl/>
        </w:rPr>
        <w:t xml:space="preserve">مكتبة الشروط القابلة للمقارنة.</w:t>
      </w:r>
    </w:p>
    <w:p>
      <w:pPr>
        <w:bidi/>
        <w:spacing w:after="60" w:before="0"/>
      </w:pPr>
    </w:p>
    <w:p>
      <w:pPr>
        <w:bidi/>
        <w:spacing w:after="110" w:before="0" w:line="312"/>
      </w:pPr>
      <w:r>
        <w:rPr>
          <w:rFonts w:ascii="Arial" w:cs="Arial" w:eastAsia="Arial" w:hAnsi="Arial"/>
          <w:b w:val="false"/>
          <w:bCs w:val="false"/>
          <w:sz w:val="21"/>
          <w:szCs w:val="21"/>
          <w:rtl/>
        </w:rPr>
        <w:t xml:space="preserve">مسار الخروج من S2 (OQ-17): </w:t>
      </w:r>
      <w:r>
        <w:rPr>
          <w:rFonts w:ascii="Arial" w:cs="Arial" w:eastAsia="Arial" w:hAnsi="Arial"/>
          <w:b/>
          <w:bCs/>
          <w:sz w:val="21"/>
          <w:szCs w:val="21"/>
          <w:rtl/>
        </w:rPr>
        <w:t xml:space="preserve">«تُدخَل الاتفاقيات الأربع الحقيقية بلا قيد خارج النموذج، ويعمل تنبيه الانتهاء»</w:t>
      </w:r>
      <w:r>
        <w:rPr>
          <w:rFonts w:ascii="Arial" w:cs="Arial" w:eastAsia="Arial" w:hAnsi="Arial"/>
          <w:b w:val="false"/>
          <w:bCs w:val="false"/>
          <w:sz w:val="21"/>
          <w:szCs w:val="21"/>
          <w:rtl/>
        </w:rPr>
        <w:t xml:space="preserve">. ويثبته AC-FAC-11 الجديد على الحزم DS-AGR من A إلى D، ومعه AC-FAC-12 (مئة حجز متزامن) وقياس NFR-PERF-01، وبقية معايير S2 في §6.</w:t>
      </w:r>
    </w:p>
    <w:p>
      <w:pPr>
        <w:pStyle w:val="Heading1"/>
        <w:bidi/>
      </w:pPr>
      <w:bookmarkStart w:name="_sec2" w:id="2"/>
      <w:r>
        <w:rPr>
          <w:rFonts w:ascii="Arial" w:cs="Arial" w:eastAsia="Arial" w:hAnsi="Arial"/>
          <w:b/>
          <w:bCs/>
          <w:color w:val="1F3A5F"/>
          <w:sz w:val="32"/>
          <w:szCs w:val="32"/>
          <w:rtl/>
        </w:rPr>
        <w:t xml:space="preserve">2. الدفعات</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49"/>
        <w:gridCol w:w="5549"/>
        <w:gridCol w:w="2466"/>
      </w:tblGrid>
      <w:tr>
        <w:trPr>
          <w:cantSplit/>
          <w:tblHeader/>
        </w:trPr>
        <w:tc>
          <w:tcPr>
            <w:tcW w:type="dxa" w:w="1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الدفعة</w:t>
            </w:r>
          </w:p>
        </w:tc>
        <w:tc>
          <w:tcPr>
            <w:tcW w:type="dxa" w:w="55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الإيداع</w:t>
            </w:r>
          </w:p>
        </w:tc>
      </w:tr>
      <w:tr>
        <w:trPr>
          <w:cantSplit/>
        </w:trPr>
        <w:tc>
          <w:tcPr>
            <w:tcW w:type="dxa" w:w="1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S2-A</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 (CMP.TERMS v1، FIN.FORMULAS v1، CORE.NUMBERING v2، CORE.EXPIRY v3، NTF.BASE v4)، والإعدادان، والسكربت 062، وأيام العمل والتقويم الهجري، ومزوّدو الانتهاء بحسب النوع، ومصادر الاستخدام والدمج، وفحص التسهيل المفتوح عند إغلاق العلاقة</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dcfe78c وe700af2</w:t>
            </w:r>
          </w:p>
        </w:tc>
      </w:tr>
      <w:tr>
        <w:trPr>
          <w:cantSplit/>
        </w:trPr>
        <w:tc>
          <w:tcPr>
            <w:tcW w:type="dxa" w:w="1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S2-B</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التسهيل والمراجعات وترتيب الاعتماد، والسريان وJOB-FAC-VALIDITY، وتنبيهات انتهاء التسهيل</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73fd343 و57a7b16</w:t>
            </w:r>
          </w:p>
        </w:tc>
      </w:tr>
      <w:tr>
        <w:trPr>
          <w:cantSplit/>
        </w:trPr>
        <w:tc>
          <w:tcPr>
            <w:tcW w:type="dxa" w:w="1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S2-C</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شجرة الحدود والخطوط وشروطها، والمتاح، والاستخدام والأرصدة المعترف بها، ونواة الحجز</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d2b0372 وa8bb036 و6580850</w:t>
            </w:r>
          </w:p>
        </w:tc>
      </w:tr>
      <w:tr>
        <w:trPr>
          <w:cantSplit/>
        </w:trPr>
        <w:tc>
          <w:tcPr>
            <w:tcW w:type="dxa" w:w="1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S2-D</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 التعرفة وقواعد التسعير والمحلّل</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ea3c1a3 وfb0a318</w:t>
            </w:r>
          </w:p>
        </w:tc>
      </w:tr>
      <w:tr>
        <w:trPr>
          <w:cantSplit/>
        </w:trPr>
        <w:tc>
          <w:tcPr>
            <w:tcW w:type="dxa" w:w="1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S2-E</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الضمانات ونسخها وربطها عبر المراجعة، والتغطية، والكفلاء، وPTY.KYC v1، والاكتمال والحزمة</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adf38e8</w:t>
            </w:r>
          </w:p>
        </w:tc>
      </w:tr>
      <w:tr>
        <w:trPr>
          <w:cantSplit/>
        </w:trPr>
        <w:tc>
          <w:tcPr>
            <w:tcW w:type="dxa" w:w="1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S2-F</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الالتزامات والأجندة وJOB-OBL-CALENDAR، والمخالفات، والامتثال، والتعهدات الوصفية، والشروط القابلة للمقارنة، وحزم DS-AGR، واختبارات الخروج، والمستندات</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هذا الإيداع</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ما طلبه المالك</w:t>
        </w:r>
      </w:hyperlink>
    </w:p>
    <w:p>
      <w:pPr>
        <w:bidi/>
        <w:spacing w:after="50" w:before="0"/>
        <w:ind w:left="0"/>
      </w:pPr>
      <w:hyperlink w:history="1" w:anchor="_sec2">
        <w:r>
          <w:rPr>
            <w:rFonts w:ascii="Arial" w:cs="Arial" w:eastAsia="Arial" w:hAnsi="Arial"/>
            <w:b/>
            <w:bCs/>
            <w:color w:val="1F3A5F"/>
            <w:sz w:val="20"/>
            <w:szCs w:val="20"/>
            <w:rtl/>
          </w:rPr>
          <w:t xml:space="preserve">2. الدفعات</w:t>
        </w:r>
      </w:hyperlink>
    </w:p>
    <w:p>
      <w:pPr>
        <w:bidi/>
        <w:spacing w:after="50" w:before="0"/>
        <w:ind w:left="0"/>
      </w:pPr>
      <w:hyperlink w:history="1" w:anchor="_sec3">
        <w:r>
          <w:rPr>
            <w:rFonts w:ascii="Arial" w:cs="Arial" w:eastAsia="Arial" w:hAnsi="Arial"/>
            <w:b/>
            <w:bCs/>
            <w:color w:val="1F3A5F"/>
            <w:sz w:val="20"/>
            <w:szCs w:val="20"/>
            <w:rtl/>
          </w:rPr>
          <w:t xml:space="preserve">3. ما يعمل الآن</w:t>
        </w:r>
      </w:hyperlink>
    </w:p>
    <w:p>
      <w:pPr>
        <w:bidi/>
        <w:spacing w:after="50" w:before="0"/>
        <w:ind w:left="0"/>
      </w:pPr>
      <w:hyperlink w:history="1" w:anchor="_sec12">
        <w:r>
          <w:rPr>
            <w:rFonts w:ascii="Arial" w:cs="Arial" w:eastAsia="Arial" w:hAnsi="Arial"/>
            <w:b/>
            <w:bCs/>
            <w:color w:val="1F3A5F"/>
            <w:sz w:val="20"/>
            <w:szCs w:val="20"/>
            <w:rtl/>
          </w:rPr>
          <w:t xml:space="preserve">4. الافتراضات المأخوذة</w:t>
        </w:r>
      </w:hyperlink>
    </w:p>
    <w:p>
      <w:pPr>
        <w:bidi/>
        <w:spacing w:after="50" w:before="0"/>
        <w:ind w:left="0"/>
      </w:pPr>
      <w:hyperlink w:history="1" w:anchor="_sec13">
        <w:r>
          <w:rPr>
            <w:rFonts w:ascii="Arial" w:cs="Arial" w:eastAsia="Arial" w:hAnsi="Arial"/>
            <w:b/>
            <w:bCs/>
            <w:color w:val="1F3A5F"/>
            <w:sz w:val="20"/>
            <w:szCs w:val="20"/>
            <w:rtl/>
          </w:rPr>
          <w:t xml:space="preserve">5. ما وُجد في الطريق</w:t>
        </w:r>
      </w:hyperlink>
    </w:p>
    <w:p>
      <w:pPr>
        <w:bidi/>
        <w:spacing w:after="50" w:before="0"/>
        <w:ind w:left="0"/>
      </w:pPr>
      <w:hyperlink w:history="1" w:anchor="_sec14">
        <w:r>
          <w:rPr>
            <w:rFonts w:ascii="Arial" w:cs="Arial" w:eastAsia="Arial" w:hAnsi="Arial"/>
            <w:b/>
            <w:bCs/>
            <w:color w:val="1F3A5F"/>
            <w:sz w:val="20"/>
            <w:szCs w:val="20"/>
            <w:rtl/>
          </w:rPr>
          <w:t xml:space="preserve">6. الاختبار</w:t>
        </w:r>
      </w:hyperlink>
    </w:p>
    <w:p>
      <w:pPr>
        <w:bidi/>
        <w:spacing w:after="50" w:before="0"/>
        <w:ind w:left="0"/>
      </w:pPr>
      <w:hyperlink w:history="1" w:anchor="_sec15">
        <w:r>
          <w:rPr>
            <w:rFonts w:ascii="Arial" w:cs="Arial" w:eastAsia="Arial" w:hAnsi="Arial"/>
            <w:b/>
            <w:bCs/>
            <w:color w:val="1F3A5F"/>
            <w:sz w:val="20"/>
            <w:szCs w:val="20"/>
            <w:rtl/>
          </w:rPr>
          <w:t xml:space="preserve">7. ما بقي خارج S2</w:t>
        </w:r>
      </w:hyperlink>
    </w:p>
    <w:p>
      <w:r>
        <w:br w:type="page"/>
      </w:r>
    </w:p>
    <w:p>
      <w:pPr>
        <w:pStyle w:val="Heading1"/>
        <w:bidi/>
      </w:pPr>
      <w:bookmarkStart w:name="_sec3" w:id="3"/>
      <w:r>
        <w:rPr>
          <w:rFonts w:ascii="Arial" w:cs="Arial" w:eastAsia="Arial" w:hAnsi="Arial"/>
          <w:b/>
          <w:bCs/>
          <w:color w:val="1F3A5F"/>
          <w:sz w:val="32"/>
          <w:szCs w:val="32"/>
          <w:rtl/>
        </w:rPr>
        <w:t xml:space="preserve">3. ما يعمل الآن</w:t>
      </w:r>
      <w:bookmarkEnd w:id="3"/>
    </w:p>
    <w:p>
      <w:pPr>
        <w:pStyle w:val="Heading2"/>
        <w:bidi/>
      </w:pPr>
      <w:bookmarkStart w:name="_sec4" w:id="4"/>
      <w:r>
        <w:rPr>
          <w:rFonts w:ascii="Arial" w:cs="Arial" w:eastAsia="Arial" w:hAnsi="Arial"/>
          <w:b/>
          <w:bCs/>
          <w:color w:val="2B5C8A"/>
          <w:sz w:val="26"/>
          <w:szCs w:val="26"/>
          <w:rtl/>
        </w:rPr>
        <w:t xml:space="preserve">3.1 الأساس (S2-A)</w:t>
      </w:r>
      <w:bookmarkEnd w:id="4"/>
    </w:p>
    <w:p>
      <w:pPr>
        <w:pStyle w:val="ListParagraph"/>
        <w:numPr>
          <w:ilvl w:val="0"/>
          <w:numId w:val="2"/>
        </w:numPr>
        <w:bidi/>
        <w:spacing w:after="70" w:before="0" w:line="300"/>
      </w:pPr>
      <w:r>
        <w:rPr>
          <w:rFonts w:ascii="Arial" w:cs="Arial" w:eastAsia="Arial" w:hAnsi="Arial"/>
          <w:b/>
          <w:bCs/>
          <w:sz w:val="21"/>
          <w:szCs w:val="21"/>
          <w:rtl/>
        </w:rPr>
        <w:t xml:space="preserve">CMP.TERMS الإصدار 1.</w:t>
      </w:r>
      <w:r>
        <w:rPr>
          <w:rFonts w:ascii="Arial" w:cs="Arial" w:eastAsia="Arial" w:hAnsi="Arial"/>
          <w:b w:val="false"/>
          <w:bCs w:val="false"/>
          <w:sz w:val="21"/>
          <w:szCs w:val="21"/>
          <w:rtl/>
        </w:rPr>
        <w:t xml:space="preserve"> 35 مفتاحًا قابلًا للمقارنة، لكل منها الفئة والنوع والوحدة والاتجاه (الأقل أفضل أو الأعلى أفضل) ومصدر الإسقاط.</w:t>
      </w:r>
    </w:p>
    <w:p>
      <w:pPr>
        <w:pStyle w:val="ListParagraph"/>
        <w:numPr>
          <w:ilvl w:val="0"/>
          <w:numId w:val="2"/>
        </w:numPr>
        <w:bidi/>
        <w:spacing w:after="70" w:before="0" w:line="300"/>
      </w:pPr>
      <w:r>
        <w:rPr>
          <w:rFonts w:ascii="Arial" w:cs="Arial" w:eastAsia="Arial" w:hAnsi="Arial"/>
          <w:b/>
          <w:bCs/>
          <w:sz w:val="21"/>
          <w:szCs w:val="21"/>
          <w:rtl/>
        </w:rPr>
        <w:t xml:space="preserve">FIN.FORMULAS الإصدار 1.</w:t>
      </w:r>
      <w:r>
        <w:rPr>
          <w:rFonts w:ascii="Arial" w:cs="Arial" w:eastAsia="Arial" w:hAnsi="Arial"/>
          <w:b w:val="false"/>
          <w:bCs w:val="false"/>
          <w:sz w:val="21"/>
          <w:szCs w:val="21"/>
          <w:rtl/>
        </w:rPr>
        <w:t xml:space="preserve"> ثماني صيغ قوالب معتمدة باسم مستخدم النظام في المشترك (OQ-5). نسخة التسهيل يعتمدها شخص في S2-ب.</w:t>
      </w:r>
    </w:p>
    <w:p>
      <w:pPr>
        <w:pStyle w:val="ListParagraph"/>
        <w:numPr>
          <w:ilvl w:val="0"/>
          <w:numId w:val="2"/>
        </w:numPr>
        <w:bidi/>
        <w:spacing w:after="70" w:before="0" w:line="300"/>
      </w:pPr>
      <w:r>
        <w:rPr>
          <w:rFonts w:ascii="Arial" w:cs="Arial" w:eastAsia="Arial" w:hAnsi="Arial"/>
          <w:b/>
          <w:bCs/>
          <w:sz w:val="21"/>
          <w:szCs w:val="21"/>
          <w:rtl/>
        </w:rPr>
        <w:t xml:space="preserve">CORE.NUMBERING الإصدار 2.</w:t>
      </w:r>
      <w:r>
        <w:rPr>
          <w:rFonts w:ascii="Arial" w:cs="Arial" w:eastAsia="Arial" w:hAnsi="Arial"/>
          <w:b w:val="false"/>
          <w:bCs w:val="false"/>
          <w:sz w:val="21"/>
          <w:szCs w:val="21"/>
          <w:rtl/>
        </w:rPr>
        <w:t xml:space="preserve"> رقم التسهيل </w:t>
      </w:r>
      <w:r>
        <w:rPr>
          <w:rFonts w:ascii="Courier New" w:cs="Courier New" w:eastAsia="Courier New" w:hAnsi="Courier New"/>
          <w:b w:val="false"/>
          <w:bCs w:val="false"/>
          <w:color w:val="1F2937"/>
          <w:sz w:val="18"/>
          <w:szCs w:val="18"/>
          <w:shd w:fill="F1F3F5" w:color="auto" w:val="clear"/>
          <w:rtl/>
        </w:rPr>
        <w:t xml:space="preserve">‎FAC-{yy}-{seq:000}‎</w:t>
      </w:r>
      <w:r>
        <w:rPr>
          <w:rFonts w:ascii="Arial" w:cs="Arial" w:eastAsia="Arial" w:hAnsi="Arial"/>
          <w:b w:val="false"/>
          <w:bCs w:val="false"/>
          <w:sz w:val="21"/>
          <w:szCs w:val="21"/>
          <w:rtl/>
        </w:rPr>
        <w:t xml:space="preserve"> بسنة التخصيص، والتجديد رقم جديد (OQ-2).</w:t>
      </w:r>
    </w:p>
    <w:p>
      <w:pPr>
        <w:pStyle w:val="ListParagraph"/>
        <w:numPr>
          <w:ilvl w:val="0"/>
          <w:numId w:val="2"/>
        </w:numPr>
        <w:bidi/>
        <w:spacing w:after="70" w:before="0" w:line="300"/>
      </w:pPr>
      <w:r>
        <w:rPr>
          <w:rFonts w:ascii="Arial" w:cs="Arial" w:eastAsia="Arial" w:hAnsi="Arial"/>
          <w:b/>
          <w:bCs/>
          <w:sz w:val="21"/>
          <w:szCs w:val="21"/>
          <w:rtl/>
        </w:rPr>
        <w:t xml:space="preserve">CORE.EXPIRY الإصدار 3.</w:t>
      </w:r>
      <w:r>
        <w:rPr>
          <w:rFonts w:ascii="Arial" w:cs="Arial" w:eastAsia="Arial" w:hAnsi="Arial"/>
          <w:b w:val="false"/>
          <w:bCs w:val="false"/>
          <w:sz w:val="21"/>
          <w:szCs w:val="21"/>
          <w:rtl/>
        </w:rPr>
        <w:t xml:space="preserve"> سبع قواعد: التسهيل [90، 60، 30، 15، 7] مع تذكير أسبوعي بعد الانتهاء، والحد والخط بلا تذكير، والسند والتأمين والتقييم [60، 30، 7]، وبنود الأجندة [30، 14، 7، 3، 1] مع تذكير يومي للمتأخر.</w:t>
      </w:r>
    </w:p>
    <w:p>
      <w:pPr>
        <w:pStyle w:val="ListParagraph"/>
        <w:numPr>
          <w:ilvl w:val="0"/>
          <w:numId w:val="2"/>
        </w:numPr>
        <w:bidi/>
        <w:spacing w:after="70" w:before="0" w:line="300"/>
      </w:pPr>
      <w:r>
        <w:rPr>
          <w:rFonts w:ascii="Arial" w:cs="Arial" w:eastAsia="Arial" w:hAnsi="Arial"/>
          <w:b/>
          <w:bCs/>
          <w:sz w:val="21"/>
          <w:szCs w:val="21"/>
          <w:rtl/>
        </w:rPr>
        <w:t xml:space="preserve">NTF.BASE الإصدار 4.</w:t>
      </w:r>
      <w:r>
        <w:rPr>
          <w:rFonts w:ascii="Arial" w:cs="Arial" w:eastAsia="Arial" w:hAnsi="Arial"/>
          <w:b w:val="false"/>
          <w:bCs w:val="false"/>
          <w:sz w:val="21"/>
          <w:szCs w:val="21"/>
          <w:rtl/>
        </w:rPr>
        <w:t xml:space="preserve"> عشرة أحداث لـ S2، بنصوص عربية وإنجليزية، ولا مبلغ في أي نص.</w:t>
      </w:r>
    </w:p>
    <w:p>
      <w:pPr>
        <w:pStyle w:val="ListParagraph"/>
        <w:numPr>
          <w:ilvl w:val="0"/>
          <w:numId w:val="2"/>
        </w:numPr>
        <w:bidi/>
        <w:spacing w:after="70" w:before="0" w:line="300"/>
      </w:pPr>
      <w:r>
        <w:rPr>
          <w:rFonts w:ascii="Arial" w:cs="Arial" w:eastAsia="Arial" w:hAnsi="Arial"/>
          <w:b/>
          <w:bCs/>
          <w:sz w:val="21"/>
          <w:szCs w:val="21"/>
          <w:rtl/>
        </w:rPr>
        <w:t xml:space="preserve">الإعدادان</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‎fac.validity.expiring_days‎</w:t>
      </w:r>
      <w:r>
        <w:rPr>
          <w:rFonts w:ascii="Arial" w:cs="Arial" w:eastAsia="Arial" w:hAnsi="Arial"/>
          <w:b w:val="false"/>
          <w:bCs w:val="false"/>
          <w:sz w:val="21"/>
          <w:szCs w:val="21"/>
          <w:rtl/>
        </w:rPr>
        <w:t xml:space="preserve"> (90) و</w:t>
      </w:r>
      <w:r>
        <w:rPr>
          <w:rFonts w:ascii="Courier New" w:cs="Courier New" w:eastAsia="Courier New" w:hAnsi="Courier New"/>
          <w:b w:val="false"/>
          <w:bCs w:val="false"/>
          <w:color w:val="1F2937"/>
          <w:sz w:val="18"/>
          <w:szCs w:val="18"/>
          <w:shd w:fill="F1F3F5" w:color="auto" w:val="clear"/>
          <w:rtl/>
        </w:rPr>
        <w:t xml:space="preserve">‎wf.sod.allow_same_person‎</w:t>
      </w:r>
      <w:r>
        <w:rPr>
          <w:rFonts w:ascii="Arial" w:cs="Arial" w:eastAsia="Arial" w:hAnsi="Arial"/>
          <w:b w:val="false"/>
          <w:bCs w:val="false"/>
          <w:sz w:val="21"/>
          <w:szCs w:val="21"/>
          <w:rtl/>
        </w:rPr>
        <w:t xml:space="preserve"> (معطّل).</w:t>
      </w:r>
    </w:p>
    <w:p>
      <w:pPr>
        <w:pStyle w:val="ListParagraph"/>
        <w:numPr>
          <w:ilvl w:val="0"/>
          <w:numId w:val="2"/>
        </w:numPr>
        <w:bidi/>
        <w:spacing w:after="70" w:before="0" w:line="300"/>
      </w:pPr>
      <w:r>
        <w:rPr>
          <w:rFonts w:ascii="Arial" w:cs="Arial" w:eastAsia="Arial" w:hAnsi="Arial"/>
          <w:b/>
          <w:bCs/>
          <w:sz w:val="21"/>
          <w:szCs w:val="21"/>
          <w:rtl/>
        </w:rPr>
        <w:t xml:space="preserve">السكربت 062.</w:t>
      </w:r>
      <w:r>
        <w:rPr>
          <w:rFonts w:ascii="Arial" w:cs="Arial" w:eastAsia="Arial" w:hAnsi="Arial"/>
          <w:b w:val="false"/>
          <w:bCs w:val="false"/>
          <w:sz w:val="21"/>
          <w:szCs w:val="21"/>
          <w:rtl/>
        </w:rPr>
        <w:t xml:space="preserve"> مفاتيح الشروط النظامية ثابتة، وجدول التعرفة المعتمد ثابت ببنوده، وأجزاء الضمان المعتمد ثابتة إلا تواريخ التشغيل، والاستخدام المُفرَج أو المنقول نهائي. الخطأ 50176 يصل 409 APPROVED_FINAL.</w:t>
      </w:r>
    </w:p>
    <w:p>
      <w:pPr>
        <w:pStyle w:val="ListParagraph"/>
        <w:numPr>
          <w:ilvl w:val="0"/>
          <w:numId w:val="2"/>
        </w:numPr>
        <w:bidi/>
        <w:spacing w:after="70" w:before="0" w:line="300"/>
      </w:pPr>
      <w:r>
        <w:rPr>
          <w:rFonts w:ascii="Arial" w:cs="Arial" w:eastAsia="Arial" w:hAnsi="Arial"/>
          <w:b/>
          <w:bCs/>
          <w:sz w:val="21"/>
          <w:szCs w:val="21"/>
          <w:rtl/>
        </w:rPr>
        <w:t xml:space="preserve">أيام العمل.</w:t>
      </w:r>
      <w:r>
        <w:rPr>
          <w:rFonts w:ascii="Arial" w:cs="Arial" w:eastAsia="Arial" w:hAnsi="Arial"/>
          <w:b w:val="false"/>
          <w:bCs w:val="false"/>
          <w:sz w:val="21"/>
          <w:szCs w:val="21"/>
          <w:rtl/>
        </w:rPr>
        <w:t xml:space="preserve"> حساب الأيام للأمام وللخلف على عطلة البلد الأسبوعية وأيام المنصة والمشترك، مع شاشتين للمشغّل ولمدير المشترك.</w:t>
      </w:r>
    </w:p>
    <w:p>
      <w:pPr>
        <w:pStyle w:val="ListParagraph"/>
        <w:numPr>
          <w:ilvl w:val="0"/>
          <w:numId w:val="2"/>
        </w:numPr>
        <w:bidi/>
        <w:spacing w:after="70" w:before="0" w:line="300"/>
      </w:pPr>
      <w:r>
        <w:rPr>
          <w:rFonts w:ascii="Arial" w:cs="Arial" w:eastAsia="Arial" w:hAnsi="Arial"/>
          <w:b/>
          <w:bCs/>
          <w:sz w:val="21"/>
          <w:szCs w:val="21"/>
          <w:rtl/>
        </w:rPr>
        <w:t xml:space="preserve">التقويم الهجري.</w:t>
      </w:r>
      <w:r>
        <w:rPr>
          <w:rFonts w:ascii="Arial" w:cs="Arial" w:eastAsia="Arial" w:hAnsi="Arial"/>
          <w:b w:val="false"/>
          <w:bCs w:val="false"/>
          <w:sz w:val="21"/>
          <w:szCs w:val="21"/>
          <w:rtl/>
        </w:rPr>
        <w:t xml:space="preserve"> تحويل بتقويم أم القرى في الاتجاهين، ويُرفض تاريخ غير موجود.</w:t>
      </w:r>
    </w:p>
    <w:p>
      <w:pPr>
        <w:bidi/>
        <w:spacing w:after="60" w:before="0"/>
      </w:pPr>
    </w:p>
    <w:p>
      <w:pPr>
        <w:pStyle w:val="Heading2"/>
        <w:bidi/>
      </w:pPr>
      <w:bookmarkStart w:name="_sec5" w:id="5"/>
      <w:r>
        <w:rPr>
          <w:rFonts w:ascii="Arial" w:cs="Arial" w:eastAsia="Arial" w:hAnsi="Arial"/>
          <w:b/>
          <w:bCs/>
          <w:color w:val="2B5C8A"/>
          <w:sz w:val="26"/>
          <w:szCs w:val="26"/>
          <w:rtl/>
        </w:rPr>
        <w:t xml:space="preserve">3.2 حزمة التسهيل (S2-B)</w:t>
      </w:r>
      <w:bookmarkEnd w:id="5"/>
    </w:p>
    <w:p>
      <w:pPr>
        <w:pStyle w:val="ListParagraph"/>
        <w:numPr>
          <w:ilvl w:val="0"/>
          <w:numId w:val="2"/>
        </w:numPr>
        <w:bidi/>
        <w:spacing w:after="70" w:before="0" w:line="300"/>
      </w:pPr>
      <w:r>
        <w:rPr>
          <w:rFonts w:ascii="Arial" w:cs="Arial" w:eastAsia="Arial" w:hAnsi="Arial"/>
          <w:b w:val="false"/>
          <w:bCs w:val="false"/>
          <w:sz w:val="21"/>
          <w:szCs w:val="21"/>
          <w:rtl/>
        </w:rPr>
        <w:t xml:space="preserve">التسهيل برأسه وتواريخه الهجرية ورقمه، والمقرضون بحصص مجموعها 100% ووكيل واحد، والمستندات بأسبقيتها.</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تعديل في مسودة مراجعة. أول تعديل ينسخ الصفوف المعتمدة إلى المسودة، والإهمال يعيدها.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الفحص التجريبي، ثم التقديم، ثم الاعتماد من مستخدم لم يفتح المراجعة ولم يعدّلها ولم يقدّمها (BR-FAC-004، OQ-6).</w:t>
      </w:r>
    </w:p>
    <w:p>
      <w:pPr>
        <w:pStyle w:val="ListParagraph"/>
        <w:numPr>
          <w:ilvl w:val="0"/>
          <w:numId w:val="2"/>
        </w:numPr>
        <w:bidi/>
        <w:spacing w:after="70" w:before="0" w:line="300"/>
      </w:pPr>
      <w:r>
        <w:rPr>
          <w:rFonts w:ascii="Arial" w:cs="Arial" w:eastAsia="Arial" w:hAnsi="Arial"/>
          <w:b/>
          <w:bCs/>
          <w:sz w:val="21"/>
          <w:szCs w:val="21"/>
          <w:rtl/>
        </w:rPr>
        <w:t xml:space="preserve">ترتيب الاعتماد يتبع القوادح</w:t>
      </w:r>
      <w:r>
        <w:rPr>
          <w:rFonts w:ascii="Arial" w:cs="Arial" w:eastAsia="Arial" w:hAnsi="Arial"/>
          <w:b w:val="false"/>
          <w:bCs w:val="false"/>
          <w:sz w:val="21"/>
          <w:szCs w:val="21"/>
          <w:rtl/>
        </w:rPr>
        <w:t xml:space="preserve"> (S2-GAP-2): إعادة وصل الاستخدام، ثم إسقاط الشروط، ثم المراجعة APPROVED، ثم أخيرًا رقم المراجعة المعتمدة مع الحالة والرأس، ثم الأجندة. صُحّح DOC-F13 §7.3 على هذا.</w:t>
      </w:r>
    </w:p>
    <w:p>
      <w:pPr>
        <w:pStyle w:val="ListParagraph"/>
        <w:numPr>
          <w:ilvl w:val="0"/>
          <w:numId w:val="2"/>
        </w:numPr>
        <w:bidi/>
        <w:spacing w:after="70" w:before="0" w:line="300"/>
      </w:pPr>
      <w:r>
        <w:rPr>
          <w:rFonts w:ascii="Arial" w:cs="Arial" w:eastAsia="Arial" w:hAnsi="Arial"/>
          <w:b w:val="false"/>
          <w:bCs w:val="false"/>
          <w:sz w:val="21"/>
          <w:szCs w:val="21"/>
          <w:rtl/>
        </w:rPr>
        <w:t xml:space="preserve">مؤشر السريان مشتق يوميًا: ساري، يقترب، غير مؤكد، لم يبدأ. والتسهيل المنتهي بلا لاحق ولا تمديد «غير مؤكد» لا «منتهٍ».</w:t>
      </w:r>
    </w:p>
    <w:p>
      <w:pPr>
        <w:pStyle w:val="ListParagraph"/>
        <w:numPr>
          <w:ilvl w:val="0"/>
          <w:numId w:val="2"/>
        </w:numPr>
        <w:bidi/>
        <w:spacing w:after="70" w:before="0" w:line="300"/>
      </w:pPr>
      <w:r>
        <w:rPr>
          <w:rFonts w:ascii="Arial" w:cs="Arial" w:eastAsia="Arial" w:hAnsi="Arial"/>
          <w:b w:val="false"/>
          <w:bCs w:val="false"/>
          <w:sz w:val="21"/>
          <w:szCs w:val="21"/>
          <w:rtl/>
        </w:rPr>
        <w:t xml:space="preserve">JOB-FAC-VALIDITY تجعل السابق SUPERSEDED من تاريخ بدء اللاحق (OQ-15).</w:t>
      </w:r>
    </w:p>
    <w:p>
      <w:pPr>
        <w:bidi/>
        <w:spacing w:after="60" w:before="0"/>
      </w:pPr>
    </w:p>
    <w:p>
      <w:pPr>
        <w:pStyle w:val="Heading2"/>
        <w:bidi/>
      </w:pPr>
      <w:bookmarkStart w:name="_sec6" w:id="6"/>
      <w:r>
        <w:rPr>
          <w:rFonts w:ascii="Arial" w:cs="Arial" w:eastAsia="Arial" w:hAnsi="Arial"/>
          <w:b/>
          <w:bCs/>
          <w:color w:val="2B5C8A"/>
          <w:sz w:val="26"/>
          <w:szCs w:val="26"/>
          <w:rtl/>
        </w:rPr>
        <w:t xml:space="preserve">3.3 الحدود والمتاح والحجز (S2-C)</w:t>
      </w:r>
      <w:bookmarkEnd w:id="6"/>
    </w:p>
    <w:p>
      <w:pPr>
        <w:pStyle w:val="ListParagraph"/>
        <w:numPr>
          <w:ilvl w:val="0"/>
          <w:numId w:val="2"/>
        </w:numPr>
        <w:bidi/>
        <w:spacing w:after="70" w:before="0" w:line="300"/>
      </w:pPr>
      <w:r>
        <w:rPr>
          <w:rFonts w:ascii="Arial" w:cs="Arial" w:eastAsia="Arial" w:hAnsi="Arial"/>
          <w:b w:val="false"/>
          <w:bCs w:val="false"/>
          <w:sz w:val="21"/>
          <w:szCs w:val="21"/>
          <w:rtl/>
        </w:rPr>
        <w:t xml:space="preserve">ثلاثة أنماط توزيع: سقف مشترك، وتجزئة، وخارج المجموع. والفحوص V-FAC-04 إلى 10 قبل الكتابة.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المتاح بصيغة واحدة على الجذور، مع العقدة الحاكمة ومؤشر السريان (SVC-FAC-03). والمبالغ خارج نطاق المستخدم مخفية.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الاستخدام اليدوي بالتعديل والإفراج، والأرصدة المعترف بها بنسبتها وعلَمها.</w:t>
      </w:r>
    </w:p>
    <w:p>
      <w:pPr>
        <w:pStyle w:val="ListParagraph"/>
        <w:numPr>
          <w:ilvl w:val="0"/>
          <w:numId w:val="2"/>
        </w:numPr>
        <w:bidi/>
        <w:spacing w:after="70" w:before="0" w:line="300"/>
      </w:pPr>
      <w:r>
        <w:rPr>
          <w:rFonts w:ascii="Arial" w:cs="Arial" w:eastAsia="Arial" w:hAnsi="Arial"/>
          <w:b w:val="false"/>
          <w:bCs w:val="false"/>
          <w:sz w:val="21"/>
          <w:szCs w:val="21"/>
          <w:rtl/>
        </w:rPr>
        <w:t xml:space="preserve">نواة الحجز: قفل صف التسهيل، وتحديث بالطلب نفسه، وحركة لكل تغيير. بلا مسار HTTP في S2 (OQ-1).</w:t>
      </w:r>
    </w:p>
    <w:p>
      <w:pPr>
        <w:bidi/>
        <w:spacing w:after="60" w:before="0"/>
      </w:pPr>
    </w:p>
    <w:p>
      <w:pPr>
        <w:pStyle w:val="Heading2"/>
        <w:bidi/>
      </w:pPr>
      <w:bookmarkStart w:name="_sec7" w:id="7"/>
      <w:r>
        <w:rPr>
          <w:rFonts w:ascii="Arial" w:cs="Arial" w:eastAsia="Arial" w:hAnsi="Arial"/>
          <w:b/>
          <w:bCs/>
          <w:color w:val="2B5C8A"/>
          <w:sz w:val="26"/>
          <w:szCs w:val="26"/>
          <w:rtl/>
        </w:rPr>
        <w:t xml:space="preserve">3.4 التعرفة والتسعير (S2-D)</w:t>
      </w:r>
      <w:bookmarkEnd w:id="7"/>
    </w:p>
    <w:p>
      <w:pPr>
        <w:pStyle w:val="ListParagraph"/>
        <w:numPr>
          <w:ilvl w:val="0"/>
          <w:numId w:val="2"/>
        </w:numPr>
        <w:bidi/>
        <w:spacing w:after="70" w:before="0" w:line="300"/>
      </w:pPr>
      <w:r>
        <w:rPr>
          <w:rFonts w:ascii="Arial" w:cs="Arial" w:eastAsia="Arial" w:hAnsi="Arial"/>
          <w:b w:val="false"/>
          <w:bCs w:val="false"/>
          <w:sz w:val="21"/>
          <w:szCs w:val="21"/>
          <w:rtl/>
        </w:rPr>
        <w:t xml:space="preserve">جداول التعرفة ببنودها وشرائحها، يعتمدها مدير خزينة غير المُعِدّ، وتثبت بعدها.</w:t>
      </w:r>
    </w:p>
    <w:p>
      <w:pPr>
        <w:pStyle w:val="ListParagraph"/>
        <w:numPr>
          <w:ilvl w:val="0"/>
          <w:numId w:val="2"/>
        </w:numPr>
        <w:bidi/>
        <w:spacing w:after="70" w:before="0" w:line="300"/>
      </w:pPr>
      <w:r>
        <w:rPr>
          <w:rFonts w:ascii="Arial" w:cs="Arial" w:eastAsia="Arial" w:hAnsi="Arial"/>
          <w:b w:val="false"/>
          <w:bCs w:val="false"/>
          <w:sz w:val="21"/>
          <w:szCs w:val="21"/>
          <w:rtl/>
        </w:rPr>
        <w:t xml:space="preserve">قواعد تسعير التسهيل في المسودة بنسخ مؤرخة، والقاعدة الرجعية تحتاج سببًا.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المحلّل (SVC-FAC-05): القاعدة الأخص، ومكوّنات السعر، والضريبة سطرًا مستقلًا. والمعدل غير المحدد في الاتفاقية يعطي INCOMPLETE لا صفرًا.</w:t>
      </w:r>
    </w:p>
    <w:p>
      <w:pPr>
        <w:bidi/>
        <w:spacing w:after="60" w:before="0"/>
      </w:pPr>
    </w:p>
    <w:p>
      <w:pPr>
        <w:pStyle w:val="Heading2"/>
        <w:bidi/>
      </w:pPr>
      <w:bookmarkStart w:name="_sec8" w:id="8"/>
      <w:r>
        <w:rPr>
          <w:rFonts w:ascii="Arial" w:cs="Arial" w:eastAsia="Arial" w:hAnsi="Arial"/>
          <w:b/>
          <w:bCs/>
          <w:color w:val="2B5C8A"/>
          <w:sz w:val="26"/>
          <w:szCs w:val="26"/>
          <w:rtl/>
        </w:rPr>
        <w:t xml:space="preserve">3.5 الضمانات والكفلاء (S2-E)</w:t>
      </w:r>
      <w:bookmarkEnd w:id="8"/>
    </w:p>
    <w:p>
      <w:pPr>
        <w:pStyle w:val="ListParagraph"/>
        <w:numPr>
          <w:ilvl w:val="0"/>
          <w:numId w:val="2"/>
        </w:numPr>
        <w:bidi/>
        <w:spacing w:after="70" w:before="0" w:line="300"/>
      </w:pPr>
      <w:r>
        <w:rPr>
          <w:rFonts w:ascii="Arial" w:cs="Arial" w:eastAsia="Arial" w:hAnsi="Arial"/>
          <w:b w:val="false"/>
          <w:bCs w:val="false"/>
          <w:sz w:val="21"/>
          <w:szCs w:val="21"/>
          <w:rtl/>
        </w:rPr>
        <w:t xml:space="preserve">سجل الضمانات بنسخ على جذر واحد، بأجزاء بحسب النوع: كفالة، وسند بموقّعيه، وتأمين، وهامش نقدي، وعقار بجدول تقييمه.</w:t>
      </w:r>
    </w:p>
    <w:p>
      <w:pPr>
        <w:pStyle w:val="ListParagraph"/>
        <w:numPr>
          <w:ilvl w:val="0"/>
          <w:numId w:val="2"/>
        </w:numPr>
        <w:bidi/>
        <w:spacing w:after="70" w:before="0" w:line="300"/>
      </w:pPr>
      <w:r>
        <w:rPr>
          <w:rFonts w:ascii="Arial" w:cs="Arial" w:eastAsia="Arial" w:hAnsi="Arial"/>
          <w:b w:val="false"/>
          <w:bCs w:val="false"/>
          <w:sz w:val="21"/>
          <w:szCs w:val="21"/>
          <w:rtl/>
        </w:rPr>
        <w:t xml:space="preserve">الربط بالتسهيل صف في مراجعته (OQ-11). والإفراج بتاريخ وسبب ومستند، بلا مراجعة.</w:t>
      </w:r>
    </w:p>
    <w:p>
      <w:pPr>
        <w:pStyle w:val="ListParagraph"/>
        <w:numPr>
          <w:ilvl w:val="0"/>
          <w:numId w:val="2"/>
        </w:numPr>
        <w:bidi/>
        <w:spacing w:after="70" w:before="0" w:line="300"/>
      </w:pPr>
      <w:r>
        <w:rPr>
          <w:rFonts w:ascii="Arial" w:cs="Arial" w:eastAsia="Arial" w:hAnsi="Arial"/>
          <w:b w:val="false"/>
          <w:bCs w:val="false"/>
          <w:sz w:val="21"/>
          <w:szCs w:val="21"/>
          <w:rtl/>
        </w:rPr>
        <w:t xml:space="preserve">تقرير التغطية بحسب النوع بلا مجموع كلي مضلل، وكفالات الطرف (SVC-FAC-08).</w:t>
      </w:r>
    </w:p>
    <w:p>
      <w:pPr>
        <w:pStyle w:val="ListParagraph"/>
        <w:numPr>
          <w:ilvl w:val="0"/>
          <w:numId w:val="2"/>
        </w:numPr>
        <w:bidi/>
        <w:spacing w:after="70" w:before="0" w:line="300"/>
      </w:pPr>
      <w:r>
        <w:rPr>
          <w:rFonts w:ascii="Arial" w:cs="Arial" w:eastAsia="Arial" w:hAnsi="Arial"/>
          <w:b w:val="false"/>
          <w:bCs w:val="false"/>
          <w:sz w:val="21"/>
          <w:szCs w:val="21"/>
          <w:rtl/>
        </w:rPr>
        <w:t xml:space="preserve">PTY.KYC الإصدار 1: الملف الأساسي (BR-PTY-013)، يُكتب مسودة ثم يُفعَّل بخطوة جديدة في البذّار.</w:t>
      </w:r>
    </w:p>
    <w:p>
      <w:pPr>
        <w:pStyle w:val="ListParagraph"/>
        <w:numPr>
          <w:ilvl w:val="0"/>
          <w:numId w:val="2"/>
        </w:numPr>
        <w:bidi/>
        <w:spacing w:after="70" w:before="0" w:line="300"/>
      </w:pPr>
      <w:r>
        <w:rPr>
          <w:rFonts w:ascii="Arial" w:cs="Arial" w:eastAsia="Arial" w:hAnsi="Arial"/>
          <w:b w:val="false"/>
          <w:bCs w:val="false"/>
          <w:sz w:val="21"/>
          <w:szCs w:val="21"/>
          <w:rtl/>
        </w:rPr>
        <w:t xml:space="preserve">اكتمال الكفيل مقابل ملف البنك، ولوحة التسهيل، وحزمة الكفيل المقنّعة إلا لمن يملك الكشف والتصدير، والتصدير مدقَّق ببصمته. والحزمة صفحة تُطبع من المتصفح، بعلامة مائية على المسودة.</w:t>
      </w:r>
    </w:p>
    <w:p>
      <w:pPr>
        <w:bidi/>
        <w:spacing w:after="60" w:before="0"/>
      </w:pPr>
    </w:p>
    <w:p>
      <w:pPr>
        <w:pStyle w:val="Heading2"/>
        <w:bidi/>
      </w:pPr>
      <w:bookmarkStart w:name="_sec9" w:id="9"/>
      <w:r>
        <w:rPr>
          <w:rFonts w:ascii="Arial" w:cs="Arial" w:eastAsia="Arial" w:hAnsi="Arial"/>
          <w:b/>
          <w:bCs/>
          <w:color w:val="2B5C8A"/>
          <w:sz w:val="26"/>
          <w:szCs w:val="26"/>
          <w:rtl/>
        </w:rPr>
        <w:t xml:space="preserve">3.6 الالتزامات والمخالفات (S2-F)</w:t>
      </w:r>
      <w:bookmarkEnd w:id="9"/>
    </w:p>
    <w:p>
      <w:pPr>
        <w:pStyle w:val="ListParagraph"/>
        <w:numPr>
          <w:ilvl w:val="0"/>
          <w:numId w:val="2"/>
        </w:numPr>
        <w:bidi/>
        <w:spacing w:after="70" w:before="0" w:line="300"/>
      </w:pPr>
      <w:r>
        <w:rPr>
          <w:rFonts w:ascii="Arial" w:cs="Arial" w:eastAsia="Arial" w:hAnsi="Arial"/>
          <w:b w:val="false"/>
          <w:bCs w:val="false"/>
          <w:sz w:val="21"/>
          <w:szCs w:val="21"/>
          <w:rtl/>
        </w:rPr>
        <w:t xml:space="preserve">الالتزامات بياناتٌ في المراجعة: قواعد التقارير، والتعهدات بمقياسها وحدّها، والبنود الثابتة والقيود.</w:t>
      </w:r>
    </w:p>
    <w:p>
      <w:pPr>
        <w:pStyle w:val="ListParagraph"/>
        <w:numPr>
          <w:ilvl w:val="0"/>
          <w:numId w:val="2"/>
        </w:numPr>
        <w:bidi/>
        <w:spacing w:after="70" w:before="0" w:line="300"/>
      </w:pPr>
      <w:r>
        <w:rPr>
          <w:rFonts w:ascii="Arial" w:cs="Arial" w:eastAsia="Arial" w:hAnsi="Arial"/>
          <w:b w:val="false"/>
          <w:bCs w:val="false"/>
          <w:sz w:val="21"/>
          <w:szCs w:val="21"/>
          <w:rtl/>
        </w:rPr>
        <w:t xml:space="preserve">الأجندة تتولد عند الاعتماد حتى الأفق (OQ-7)، وتمدّها JOB-OBL-CALENDAR يوميًا. وتغيير القاعدة يعيد توليد البنود المستقبلية غير المقدَّمة وحدها.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الحساب بأيام العمل: إشعار قبل حدث في 2026-12-20 بثلاثين يوم عمل يستحق في 2026-11-08.</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التقديم المتأخر يفتح مخالفة LATE_REPORT ويرسل CMP.BREACH. وفي المخالفة: إشعار البنك، وبدء المعالجة، والمعالجة، وتسجيل التنازل واعتماده من غير المسجِّل، والإغلاق.</w:t>
      </w:r>
    </w:p>
    <w:p>
      <w:pPr>
        <w:pStyle w:val="ListParagraph"/>
        <w:numPr>
          <w:ilvl w:val="0"/>
          <w:numId w:val="2"/>
        </w:numPr>
        <w:bidi/>
        <w:spacing w:after="70" w:before="0" w:line="300"/>
      </w:pPr>
      <w:r>
        <w:rPr>
          <w:rFonts w:ascii="Arial" w:cs="Arial" w:eastAsia="Arial" w:hAnsi="Arial"/>
          <w:b/>
          <w:bCs/>
          <w:sz w:val="21"/>
          <w:szCs w:val="21"/>
          <w:rtl/>
        </w:rPr>
        <w:t xml:space="preserve">التعهد الوصفي</w:t>
      </w:r>
      <w:r>
        <w:rPr>
          <w:rFonts w:ascii="Arial" w:cs="Arial" w:eastAsia="Arial" w:hAnsi="Arial"/>
          <w:b w:val="false"/>
          <w:bCs w:val="false"/>
          <w:sz w:val="21"/>
          <w:szCs w:val="21"/>
          <w:rtl/>
        </w:rPr>
        <w:t xml:space="preserve"> (FR-OBL-007، OQ-4): حالة يدوية (ملتزم، غير ملتزم، قيد المراجعة) بملاحظة ودليل ومراجِع وموعد المراجعة التالية. كل مراجعة صف جديد لا يتغير. وفوات موعد المراجعة يجعلها «متأخرة».</w:t>
      </w:r>
    </w:p>
    <w:p>
      <w:pPr>
        <w:pStyle w:val="ListParagraph"/>
        <w:numPr>
          <w:ilvl w:val="0"/>
          <w:numId w:val="2"/>
        </w:numPr>
        <w:bidi/>
        <w:spacing w:after="70" w:before="0" w:line="300"/>
      </w:pPr>
      <w:r>
        <w:rPr>
          <w:rFonts w:ascii="Arial" w:cs="Arial" w:eastAsia="Arial" w:hAnsi="Arial"/>
          <w:b w:val="false"/>
          <w:bCs w:val="false"/>
          <w:sz w:val="21"/>
          <w:szCs w:val="21"/>
          <w:rtl/>
        </w:rPr>
        <w:t xml:space="preserve">لوحة الامتثال (SVC-FAC-06): أحمر لمتأخر أو مخالفة مفتوحة أو تعهد غير ملتزم، وكهرماني لما يقترب أو لمراجعة فائتة، وأخضر لما عداهما.</w:t>
      </w:r>
    </w:p>
    <w:p>
      <w:pPr>
        <w:bidi/>
        <w:spacing w:after="60" w:before="0"/>
      </w:pPr>
    </w:p>
    <w:p>
      <w:pPr>
        <w:pStyle w:val="Heading2"/>
        <w:bidi/>
      </w:pPr>
      <w:bookmarkStart w:name="_sec10" w:id="10"/>
      <w:r>
        <w:rPr>
          <w:rFonts w:ascii="Arial" w:cs="Arial" w:eastAsia="Arial" w:hAnsi="Arial"/>
          <w:b/>
          <w:bCs/>
          <w:color w:val="2B5C8A"/>
          <w:sz w:val="26"/>
          <w:szCs w:val="26"/>
          <w:rtl/>
        </w:rPr>
        <w:t xml:space="preserve">3.7 الشروط القابلة للمقارنة (S2-F)</w:t>
      </w:r>
      <w:bookmarkEnd w:id="10"/>
    </w:p>
    <w:p>
      <w:pPr>
        <w:pStyle w:val="ListParagraph"/>
        <w:numPr>
          <w:ilvl w:val="0"/>
          <w:numId w:val="2"/>
        </w:numPr>
        <w:bidi/>
        <w:spacing w:after="70" w:before="0" w:line="300"/>
      </w:pPr>
      <w:r>
        <w:rPr>
          <w:rFonts w:ascii="Arial" w:cs="Arial" w:eastAsia="Arial" w:hAnsi="Arial"/>
          <w:b w:val="false"/>
          <w:bCs w:val="false"/>
          <w:sz w:val="21"/>
          <w:szCs w:val="21"/>
          <w:rtl/>
        </w:rPr>
        <w:t xml:space="preserve">عند الاعتماد تُسقَط 29 من المفاتيح الـ35 من الحقول المنمّطة: التسعير والمدد والتعهدات والضمانات. والقيمة التي تركتها الاتفاقية فارغة تُسقَط بحالة «غير محدد في الاتفاقية»، ولا تُكتب صفرًا.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المفاتيح الستة الباقية تُدخل يدويًا. ويُرفض الإدخال اليدوي لمفتاح يُسقَط (V-CMP-01).</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المقارنة بين التسهيلات بتاريخ: ترتيب بحسب اتجاه المفتاح، والأفضل، والمتوسط، وما لم يُحدَّد يبقى خارج الترتيب.</w:t>
      </w:r>
    </w:p>
    <w:p>
      <w:pPr>
        <w:pStyle w:val="ListParagraph"/>
        <w:numPr>
          <w:ilvl w:val="0"/>
          <w:numId w:val="2"/>
        </w:numPr>
        <w:bidi/>
        <w:spacing w:after="70" w:before="0" w:line="300"/>
      </w:pPr>
      <w:r>
        <w:rPr>
          <w:rFonts w:ascii="Arial" w:cs="Arial" w:eastAsia="Arial" w:hAnsi="Arial"/>
          <w:b w:val="false"/>
          <w:bCs w:val="false"/>
          <w:sz w:val="21"/>
          <w:szCs w:val="21"/>
          <w:rtl/>
        </w:rPr>
        <w:t xml:space="preserve">تقرير الجودة يكشف القيم التي لم تعد مصادرها تعطيها، ومفتاح OTHER المقترح يرقّيه </w:t>
      </w:r>
      <w:r>
        <w:rPr>
          <w:rFonts w:ascii="Courier New" w:cs="Courier New" w:eastAsia="Courier New" w:hAnsi="Courier New"/>
          <w:b w:val="false"/>
          <w:bCs w:val="false"/>
          <w:color w:val="1F2937"/>
          <w:sz w:val="18"/>
          <w:szCs w:val="18"/>
          <w:shd w:fill="F1F3F5" w:color="auto" w:val="clear"/>
          <w:rtl/>
        </w:rPr>
        <w:t xml:space="preserve">‎cmp.manage‎</w:t>
      </w:r>
      <w:r>
        <w:rPr>
          <w:rFonts w:ascii="Arial" w:cs="Arial" w:eastAsia="Arial" w:hAnsi="Arial"/>
          <w:b w:val="false"/>
          <w:bCs w:val="false"/>
          <w:sz w:val="21"/>
          <w:szCs w:val="21"/>
          <w:rtl/>
        </w:rPr>
        <w:t xml:space="preserve">.</w:t>
      </w:r>
    </w:p>
    <w:p>
      <w:pPr>
        <w:bidi/>
        <w:spacing w:after="60" w:before="0"/>
      </w:pPr>
    </w:p>
    <w:p>
      <w:pPr>
        <w:pStyle w:val="Heading2"/>
        <w:bidi/>
      </w:pPr>
      <w:bookmarkStart w:name="_sec11" w:id="11"/>
      <w:r>
        <w:rPr>
          <w:rFonts w:ascii="Arial" w:cs="Arial" w:eastAsia="Arial" w:hAnsi="Arial"/>
          <w:b/>
          <w:bCs/>
          <w:color w:val="2B5C8A"/>
          <w:sz w:val="26"/>
          <w:szCs w:val="26"/>
          <w:rtl/>
        </w:rPr>
        <w:t xml:space="preserve">3.8 الاتفاقيات الأربع (DS-AGR)</w:t>
      </w:r>
      <w:bookmarkEnd w:id="11"/>
    </w:p>
    <w:p>
      <w:pPr>
        <w:pStyle w:val="ListParagraph"/>
        <w:numPr>
          <w:ilvl w:val="0"/>
          <w:numId w:val="2"/>
        </w:numPr>
        <w:bidi/>
        <w:spacing w:after="70" w:before="0" w:line="300"/>
      </w:pPr>
      <w:r>
        <w:rPr>
          <w:rFonts w:ascii="Arial" w:cs="Arial" w:eastAsia="Arial" w:hAnsi="Arial"/>
          <w:b w:val="false"/>
          <w:bCs w:val="false"/>
          <w:sz w:val="21"/>
          <w:szCs w:val="21"/>
          <w:rtl/>
        </w:rPr>
        <w:t xml:space="preserve">أربع حزم اصطناعية في </w:t>
      </w:r>
      <w:r>
        <w:rPr>
          <w:rFonts w:ascii="Courier New" w:cs="Courier New" w:eastAsia="Courier New" w:hAnsi="Courier New"/>
          <w:b w:val="false"/>
          <w:bCs w:val="false"/>
          <w:color w:val="1F2937"/>
          <w:sz w:val="18"/>
          <w:szCs w:val="18"/>
          <w:shd w:fill="F1F3F5" w:color="auto" w:val="clear"/>
          <w:rtl/>
        </w:rPr>
        <w:t xml:space="preserve">‎app/tests/data/DS-AGR‎</w:t>
      </w:r>
      <w:r>
        <w:rPr>
          <w:rFonts w:ascii="Arial" w:cs="Arial" w:eastAsia="Arial" w:hAnsi="Arial"/>
          <w:b w:val="false"/>
          <w:bCs w:val="false"/>
          <w:sz w:val="21"/>
          <w:szCs w:val="21"/>
          <w:rtl/>
        </w:rPr>
        <w:t xml:space="preserve"> تحفظ بنية الاتفاقيات الأربع في </w:t>
      </w:r>
      <w:r>
        <w:rPr>
          <w:rFonts w:ascii="Courier New" w:cs="Courier New" w:eastAsia="Courier New" w:hAnsi="Courier New"/>
          <w:b w:val="false"/>
          <w:bCs w:val="false"/>
          <w:color w:val="1F2937"/>
          <w:sz w:val="18"/>
          <w:szCs w:val="18"/>
          <w:shd w:fill="F1F3F5" w:color="auto" w:val="clear"/>
          <w:rtl/>
        </w:rPr>
        <w:t xml:space="preserve">‎docs/04‎</w:t>
      </w:r>
      <w:r>
        <w:rPr>
          <w:rFonts w:ascii="Arial" w:cs="Arial" w:eastAsia="Arial" w:hAnsi="Arial"/>
          <w:b w:val="false"/>
          <w:bCs w:val="false"/>
          <w:sz w:val="21"/>
          <w:szCs w:val="21"/>
          <w:rtl/>
        </w:rPr>
        <w:t xml:space="preserve">: الشجرة، وأنماط التوزيع، وطرق التسعير، ومهل التقارير ومراسيها، وحدود التعهدات، والقيم الفارغة كما هي. وكل ما يعرّف بها مستبدل: أسماء اصطناعية، ومبالغ بمعامل غير مسجّل، وتواريخ مزاحة بسنوات كاملة، ونصوص مولّدة.</w:t>
      </w:r>
    </w:p>
    <w:p>
      <w:pPr>
        <w:pStyle w:val="ListParagraph"/>
        <w:numPr>
          <w:ilvl w:val="0"/>
          <w:numId w:val="2"/>
        </w:numPr>
        <w:bidi/>
        <w:spacing w:after="70" w:before="0" w:line="300"/>
      </w:pPr>
      <w:r>
        <w:rPr>
          <w:rFonts w:ascii="Arial" w:cs="Arial" w:eastAsia="Arial" w:hAnsi="Arial"/>
          <w:b w:val="false"/>
          <w:bCs w:val="false"/>
          <w:sz w:val="21"/>
          <w:szCs w:val="21"/>
          <w:rtl/>
        </w:rPr>
        <w:t xml:space="preserve">لكل حزمة بيان بالمُعِدّ والمراجع والمعتمِد والحالة PROPOSED وبصمات SHA-256، يفحصها المحمّل أولًا.</w:t>
      </w:r>
    </w:p>
    <w:p>
      <w:pPr>
        <w:pStyle w:val="ListParagraph"/>
        <w:numPr>
          <w:ilvl w:val="0"/>
          <w:numId w:val="2"/>
        </w:numPr>
        <w:bidi/>
        <w:spacing w:after="70" w:before="0" w:line="300"/>
      </w:pPr>
      <w:r>
        <w:rPr>
          <w:rFonts w:ascii="Arial" w:cs="Arial" w:eastAsia="Arial" w:hAnsi="Arial"/>
          <w:b/>
          <w:bCs/>
          <w:sz w:val="21"/>
          <w:szCs w:val="21"/>
          <w:rtl/>
        </w:rPr>
        <w:t xml:space="preserve">A:</w:t>
      </w:r>
      <w:r>
        <w:rPr>
          <w:rFonts w:ascii="Arial" w:cs="Arial" w:eastAsia="Arial" w:hAnsi="Arial"/>
          <w:b w:val="false"/>
          <w:bCs w:val="false"/>
          <w:sz w:val="21"/>
          <w:szCs w:val="21"/>
          <w:rtl/>
        </w:rPr>
        <w:t xml:space="preserve"> سقف مشترك على 50M وأجندة 2028-07-28 و2028-08-14. </w:t>
      </w:r>
      <w:r>
        <w:rPr>
          <w:rFonts w:ascii="Arial" w:cs="Arial" w:eastAsia="Arial" w:hAnsi="Arial"/>
          <w:b/>
          <w:bCs/>
          <w:sz w:val="21"/>
          <w:szCs w:val="21"/>
          <w:rtl/>
        </w:rPr>
        <w:t xml:space="preserve">B:</w:t>
      </w:r>
      <w:r>
        <w:rPr>
          <w:rFonts w:ascii="Arial" w:cs="Arial" w:eastAsia="Arial" w:hAnsi="Arial"/>
          <w:b w:val="false"/>
          <w:bCs w:val="false"/>
          <w:sz w:val="21"/>
          <w:szCs w:val="21"/>
          <w:rtl/>
        </w:rPr>
        <w:t xml:space="preserve"> تسهيل سابق وتجديده، وسلسلة من اثنين، والسابق SUPERSEDED. </w:t>
      </w:r>
      <w:r>
        <w:rPr>
          <w:rFonts w:ascii="Arial" w:cs="Arial" w:eastAsia="Arial" w:hAnsi="Arial"/>
          <w:b/>
          <w:bCs/>
          <w:sz w:val="21"/>
          <w:szCs w:val="21"/>
          <w:rtl/>
        </w:rPr>
        <w:t xml:space="preserve">C:</w:t>
      </w:r>
      <w:r>
        <w:rPr>
          <w:rFonts w:ascii="Arial" w:cs="Arial" w:eastAsia="Arial" w:hAnsi="Arial"/>
          <w:b w:val="false"/>
          <w:bCs w:val="false"/>
          <w:sz w:val="21"/>
          <w:szCs w:val="21"/>
          <w:rtl/>
        </w:rPr>
        <w:t xml:space="preserve"> حد صرف 1.875M خارج المجموع، وتمديد بإرادة البنك، وتعهد توجيه 15% من الإيراد، وتعهد المحافظة على رأس المال 297.5M. </w:t>
      </w:r>
      <w:r>
        <w:rPr>
          <w:rFonts w:ascii="Arial" w:cs="Arial" w:eastAsia="Arial" w:hAnsi="Arial"/>
          <w:b/>
          <w:bCs/>
          <w:sz w:val="21"/>
          <w:szCs w:val="21"/>
          <w:rtl/>
        </w:rPr>
        <w:t xml:space="preserve">D:</w:t>
      </w:r>
      <w:r>
        <w:rPr>
          <w:rFonts w:ascii="Arial" w:cs="Arial" w:eastAsia="Arial" w:hAnsi="Arial"/>
          <w:b w:val="false"/>
          <w:bCs w:val="false"/>
          <w:sz w:val="21"/>
          <w:szCs w:val="21"/>
          <w:rtl/>
        </w:rPr>
        <w:t xml:space="preserve"> أبناء بنسبة 95% و53.4375M، وثلاثة تعهدات بلا قيمة، وحد مقروء من نسخة ممسوحة.</w:t>
      </w:r>
    </w:p>
    <w:p>
      <w:pPr>
        <w:bidi/>
        <w:spacing w:after="60" w:before="0"/>
      </w:pPr>
    </w:p>
    <w:p>
      <w:pPr>
        <w:pStyle w:val="Heading1"/>
        <w:bidi/>
      </w:pPr>
      <w:bookmarkStart w:name="_sec12" w:id="12"/>
      <w:r>
        <w:rPr>
          <w:rFonts w:ascii="Arial" w:cs="Arial" w:eastAsia="Arial" w:hAnsi="Arial"/>
          <w:b/>
          <w:bCs/>
          <w:color w:val="1F3A5F"/>
          <w:sz w:val="32"/>
          <w:szCs w:val="32"/>
          <w:rtl/>
        </w:rPr>
        <w:t xml:space="preserve">4. الافتراضات المأخوذة</w:t>
      </w:r>
      <w:bookmarkEnd w:id="12"/>
    </w:p>
    <w:p>
      <w:pPr>
        <w:bidi/>
        <w:spacing w:after="110" w:before="0" w:line="312"/>
      </w:pPr>
      <w:r>
        <w:rPr>
          <w:rFonts w:ascii="Arial" w:cs="Arial" w:eastAsia="Arial" w:hAnsi="Arial"/>
          <w:b w:val="false"/>
          <w:bCs w:val="false"/>
          <w:sz w:val="21"/>
          <w:szCs w:val="21"/>
          <w:rtl/>
        </w:rPr>
        <w:t xml:space="preserve">لم يعتمد المالك أيًا منها بعد. ويصير الخروج في DOC-B02 §10 نافذًا حين يعتمد OQ-1 وOQ-17.</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79"/>
        <w:gridCol w:w="6413"/>
        <w:gridCol w:w="1972"/>
      </w:tblGrid>
      <w:tr>
        <w:trPr>
          <w:cantSplit/>
          <w:tblHeader/>
        </w:trPr>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64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w:t>
            </w:r>
          </w:p>
        </w:tc>
        <w:tc>
          <w:tcPr>
            <w:tcW w:type="dxa" w:w="6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المئة حجز متزامن في S2: نواة الحجز والإفراج وAC-FAC-12 على طلبات مُعدّة للاختبار. ويضيف S3 الخطافات والتجاوز والتحويل والتعديل، ويعيد الاختبار عبر المحرك</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OQ-2</w:t>
            </w:r>
          </w:p>
        </w:tc>
        <w:tc>
          <w:tcPr>
            <w:tcW w:type="dxa" w:w="6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سنة رقم التسهيل سنة التخصيص، والتجديد رقم جديد</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OQ-3</w:t>
            </w:r>
          </w:p>
        </w:tc>
        <w:tc>
          <w:tcPr>
            <w:tcW w:type="dxa" w:w="6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تواريخ الضمانات (تجديد السند، انتهاء التأمين، التقييم) تنبيهات انتهاء COL.RENEWAL_DUE، لا بنود أجندة. وبند الأجندة لمن يضيف التزامًا صريحًا من نوع تجديد السند أو شهادة التقييم</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OQ-4</w:t>
            </w:r>
          </w:p>
        </w:tc>
        <w:tc>
          <w:tcPr>
            <w:tcW w:type="dxa" w:w="6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التعهد الوصفي في S2: صف CovenantTest بطريقة MANUAL_STATUS ونتيجة يدوية لكل مراجعة، بصلاحية </w:t>
            </w:r>
            <w:r>
              <w:rPr>
                <w:rFonts w:ascii="Courier New" w:cs="Courier New" w:eastAsia="Courier New" w:hAnsi="Courier New"/>
                <w:b w:val="false"/>
                <w:bCs w:val="false"/>
                <w:color w:val="1F2937"/>
                <w:sz w:val="16"/>
                <w:szCs w:val="16"/>
                <w:shd w:fill="F1F3F5" w:color="auto" w:val="clear"/>
                <w:rtl/>
              </w:rPr>
              <w:t xml:space="preserve">‎obl.record‎</w:t>
            </w:r>
            <w:r>
              <w:rPr>
                <w:rFonts w:ascii="Arial" w:cs="Arial" w:eastAsia="Arial" w:hAnsi="Arial"/>
                <w:b w:val="false"/>
                <w:bCs w:val="false"/>
                <w:sz w:val="18"/>
                <w:szCs w:val="18"/>
                <w:rtl/>
              </w:rPr>
              <w:t xml:space="preserve">. والتوليد الآلي في S2-ب</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OQ-5</w:t>
            </w:r>
          </w:p>
        </w:tc>
        <w:tc>
          <w:tcPr>
            <w:tcW w:type="dxa" w:w="6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الصيغ تُعتمد باسم مستخدم النظام، للقوالب وحدها</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OQ-6</w:t>
            </w:r>
          </w:p>
        </w:tc>
        <w:tc>
          <w:tcPr>
            <w:tcW w:type="dxa" w:w="6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المحررون يُعرفون من صفوف التدقيق لكل حفظ في المراجعة. ويُرفض الاعتماد ممن ظهر فيها أو قدّمها، إلا بالإعداد </w:t>
            </w:r>
            <w:r>
              <w:rPr>
                <w:rFonts w:ascii="Courier New" w:cs="Courier New" w:eastAsia="Courier New" w:hAnsi="Courier New"/>
                <w:b w:val="false"/>
                <w:bCs w:val="false"/>
                <w:color w:val="1F2937"/>
                <w:sz w:val="16"/>
                <w:szCs w:val="16"/>
                <w:shd w:fill="F1F3F5" w:color="auto" w:val="clear"/>
                <w:rtl/>
              </w:rPr>
              <w:t xml:space="preserve">‎wf.sod.allow_same_person‎</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OQ-7</w:t>
            </w:r>
          </w:p>
        </w:tc>
        <w:tc>
          <w:tcPr>
            <w:tcW w:type="dxa" w:w="6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الأجندة تتولد داخل معاملة الاعتماد حتى الأفق. وما زاد على 500 بند مستقبلي يولَّد منه أول 12 شهرًا وتمدّه JOB-OBL-CALENDAR</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OQ-8</w:t>
            </w:r>
          </w:p>
        </w:tc>
        <w:tc>
          <w:tcPr>
            <w:tcW w:type="dxa" w:w="6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عتبة «يقترب» 90 يومًا بالإعداد </w:t>
            </w:r>
            <w:r>
              <w:rPr>
                <w:rFonts w:ascii="Courier New" w:cs="Courier New" w:eastAsia="Courier New" w:hAnsi="Courier New"/>
                <w:b w:val="false"/>
                <w:bCs w:val="false"/>
                <w:color w:val="1F2937"/>
                <w:sz w:val="16"/>
                <w:szCs w:val="16"/>
                <w:shd w:fill="F1F3F5" w:color="auto" w:val="clear"/>
                <w:rtl/>
              </w:rPr>
              <w:t xml:space="preserve">‎fac.validity.expiring_days‎</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OQ-9</w:t>
            </w:r>
          </w:p>
        </w:tc>
        <w:tc>
          <w:tcPr>
            <w:tcW w:type="dxa" w:w="6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التنبيه في التسهيل تغلب للتسهيل وحدوده وخطوطه، والفارغ يأخذ مهل القاعدة</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OQ-10</w:t>
            </w:r>
          </w:p>
        </w:tc>
        <w:tc>
          <w:tcPr>
            <w:tcW w:type="dxa" w:w="6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الاستخدام اليدوي لا يُرفض لنقص المتاح، بل يحذّر حين يصير المتاح سالبًا</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OQ-11</w:t>
            </w:r>
          </w:p>
        </w:tc>
        <w:tc>
          <w:tcPr>
            <w:tcW w:type="dxa" w:w="6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ضمان معتمد بتسهيل نافذ يفتح مسودة المراجعة (أو ينضم إليها) ويُعتمد معها. والإفراج عن الضمان نفسه بلا مراجعة</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OQ-12</w:t>
            </w:r>
          </w:p>
        </w:tc>
        <w:tc>
          <w:tcPr>
            <w:tcW w:type="dxa" w:w="6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مستندات الضمان من أنواع التسهيل أو الطرف (لا نوع للضمان في القاعدة)، وشركة المستند هي المقترضة</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OQ-13</w:t>
            </w:r>
          </w:p>
        </w:tc>
        <w:tc>
          <w:tcPr>
            <w:tcW w:type="dxa" w:w="6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المتاح والحجز يقرآن الصفوف المعتمدة وحدها، والمسودة لا تغيّر المتاح</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OQ-14</w:t>
            </w:r>
          </w:p>
        </w:tc>
        <w:tc>
          <w:tcPr>
            <w:tcW w:type="dxa" w:w="6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التقويم الهجري أم القرى، والتعديل اليدوي يحتاج سببًا</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OQ-15</w:t>
            </w:r>
          </w:p>
        </w:tc>
        <w:tc>
          <w:tcPr>
            <w:tcW w:type="dxa" w:w="6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يصير السابق SUPERSEDED وينتقل استخدامه في أول تشغيل يومي في تاريخ بدء اللاحق أو بعده، أو في معاملة الاعتماد إن كان التاريخ قد حلّ</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OQ-16</w:t>
            </w:r>
          </w:p>
        </w:tc>
        <w:tc>
          <w:tcPr>
            <w:tcW w:type="dxa" w:w="6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S2 وS2-ب في المخالفات: S2 للتأخر والمخالفات اليدوية والمعالجة وإشعار البنك والتنازل. وS2-ب لمخالفات اختبارات التعهدات والإنذار والمراجعة</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OQ-17</w:t>
            </w:r>
          </w:p>
        </w:tc>
        <w:tc>
          <w:tcPr>
            <w:tcW w:type="dxa" w:w="6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معايير الخروج: AC-FAC-1 و4 و5 و6 و8 و10، وجزء S2 من AC-FAC-2، وAC-FAC-11 وAC-FAC-12 الجديدان، وNFR-PERF-01 على بطاقة بمئة حد وخط. وAC-FAC-3 وAC-FAC-9 لـ S3، وAC-FAC-7 لـ S2-ب</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الاعتماد</w:t>
            </w:r>
          </w:p>
        </w:tc>
      </w:tr>
    </w:tbl>
    <w:p>
      <w:pPr>
        <w:bidi/>
        <w:spacing w:after="120" w:before="0"/>
      </w:pPr>
    </w:p>
    <w:p>
      <w:pPr>
        <w:pStyle w:val="Heading1"/>
        <w:bidi/>
      </w:pPr>
      <w:bookmarkStart w:name="_sec13" w:id="13"/>
      <w:r>
        <w:rPr>
          <w:rFonts w:ascii="Arial" w:cs="Arial" w:eastAsia="Arial" w:hAnsi="Arial"/>
          <w:b/>
          <w:bCs/>
          <w:color w:val="1F3A5F"/>
          <w:sz w:val="32"/>
          <w:szCs w:val="32"/>
          <w:rtl/>
        </w:rPr>
        <w:t xml:space="preserve">5. ما وُجد في الطريق</w:t>
      </w:r>
      <w:bookmarkEnd w:id="13"/>
    </w:p>
    <w:p>
      <w:pPr>
        <w:pStyle w:val="ListParagraph"/>
        <w:numPr>
          <w:ilvl w:val="0"/>
          <w:numId w:val="2"/>
        </w:numPr>
        <w:bidi/>
        <w:spacing w:after="70" w:before="0" w:line="300"/>
      </w:pPr>
      <w:r>
        <w:rPr>
          <w:rFonts w:ascii="Arial" w:cs="Arial" w:eastAsia="Arial" w:hAnsi="Arial"/>
          <w:b/>
          <w:bCs/>
          <w:sz w:val="21"/>
          <w:szCs w:val="21"/>
          <w:rtl/>
        </w:rPr>
        <w:t xml:space="preserve">أول تنبيه متأخر كان يتبعه تذكير في اليوم نفسه.</w:t>
      </w:r>
      <w:r>
        <w:rPr>
          <w:rFonts w:ascii="Arial" w:cs="Arial" w:eastAsia="Arial" w:hAnsi="Arial"/>
          <w:b w:val="false"/>
          <w:bCs w:val="false"/>
          <w:sz w:val="21"/>
          <w:szCs w:val="21"/>
          <w:rtl/>
        </w:rPr>
        <w:t xml:space="preserve"> حين تعمل مهمة الانتهاء أول مرة بعد مرور أسبوع على الانتهاء، كانت ترسل EXPIRED ثم REMINDER في التشغيل التالي من اليوم ذاته. صار التنبيه الأول يُسجَّل معه مستوى التذكير الحالي، فيصل للمستخدم تنبيه واحد. كشفته حزمتا B وC.</w:t>
      </w:r>
    </w:p>
    <w:p>
      <w:pPr>
        <w:pStyle w:val="ListParagraph"/>
        <w:numPr>
          <w:ilvl w:val="0"/>
          <w:numId w:val="2"/>
        </w:numPr>
        <w:bidi/>
        <w:spacing w:after="70" w:before="0" w:line="300"/>
      </w:pPr>
      <w:r>
        <w:rPr>
          <w:rFonts w:ascii="Arial" w:cs="Arial" w:eastAsia="Arial" w:hAnsi="Arial"/>
          <w:b/>
          <w:bCs/>
          <w:sz w:val="21"/>
          <w:szCs w:val="21"/>
          <w:rtl/>
        </w:rPr>
        <w:t xml:space="preserve">سطران بالمفتاح نفسه كانا يأخذان جذرًا واحدًا عند الإسقاط</w:t>
      </w:r>
      <w:r>
        <w:rPr>
          <w:rFonts w:ascii="Arial" w:cs="Arial" w:eastAsia="Arial" w:hAnsi="Arial"/>
          <w:b w:val="false"/>
          <w:bCs w:val="false"/>
          <w:sz w:val="21"/>
          <w:szCs w:val="21"/>
          <w:rtl/>
        </w:rPr>
        <w:t xml:space="preserve">، فترفض القاعدة الصف الثاني (2601). صار كل صف قديم يتبعه صف جديد واحد على الأكثر.</w:t>
      </w:r>
    </w:p>
    <w:p>
      <w:pPr>
        <w:pStyle w:val="ListParagraph"/>
        <w:numPr>
          <w:ilvl w:val="0"/>
          <w:numId w:val="2"/>
        </w:numPr>
        <w:bidi/>
        <w:spacing w:after="70" w:before="0" w:line="300"/>
      </w:pPr>
      <w:r>
        <w:rPr>
          <w:rFonts w:ascii="Arial" w:cs="Arial" w:eastAsia="Arial" w:hAnsi="Arial"/>
          <w:b/>
          <w:bCs/>
          <w:sz w:val="21"/>
          <w:szCs w:val="21"/>
          <w:rtl/>
        </w:rPr>
        <w:t xml:space="preserve">مقارنة مفتاح بلا قيم كانت تعطي اتجاهًا محايدًا.</w:t>
      </w:r>
      <w:r>
        <w:rPr>
          <w:rFonts w:ascii="Arial" w:cs="Arial" w:eastAsia="Arial" w:hAnsi="Arial"/>
          <w:b w:val="false"/>
          <w:bCs w:val="false"/>
          <w:sz w:val="21"/>
          <w:szCs w:val="21"/>
          <w:rtl/>
        </w:rPr>
        <w:t xml:space="preserve"> صار الاتجاه يُقرأ من المفتاح نفسه، والمفتاح غير الموجود يعطي 404. كشفه اختبار المتصفح.</w:t>
      </w:r>
    </w:p>
    <w:p>
      <w:pPr>
        <w:pStyle w:val="ListParagraph"/>
        <w:numPr>
          <w:ilvl w:val="0"/>
          <w:numId w:val="2"/>
        </w:numPr>
        <w:bidi/>
        <w:spacing w:after="70" w:before="0" w:line="300"/>
      </w:pPr>
      <w:r>
        <w:rPr>
          <w:rFonts w:ascii="Arial" w:cs="Arial" w:eastAsia="Arial" w:hAnsi="Arial"/>
          <w:b/>
          <w:bCs/>
          <w:sz w:val="21"/>
          <w:szCs w:val="21"/>
          <w:rtl/>
        </w:rPr>
        <w:t xml:space="preserve">قيد في القاعدة على أيام الاعتراض في التسعير</w:t>
      </w:r>
      <w:r>
        <w:rPr>
          <w:rFonts w:ascii="Arial" w:cs="Arial" w:eastAsia="Arial" w:hAnsi="Arial"/>
          <w:b w:val="false"/>
          <w:bCs w:val="false"/>
          <w:sz w:val="21"/>
          <w:szCs w:val="21"/>
          <w:rtl/>
        </w:rPr>
        <w:t xml:space="preserve"> (CK_PricingRule_33) كان يصل «قيمة غير صالحة» بلا تفصيل. صارت الواجهة تتحقق منه أولًا برسالة واضحة. كشفته حزمة A.</w:t>
      </w:r>
    </w:p>
    <w:p>
      <w:pPr>
        <w:pStyle w:val="ListParagraph"/>
        <w:numPr>
          <w:ilvl w:val="0"/>
          <w:numId w:val="2"/>
        </w:numPr>
        <w:bidi/>
        <w:spacing w:after="70" w:before="0" w:line="300"/>
      </w:pPr>
      <w:r>
        <w:rPr>
          <w:rFonts w:ascii="Arial" w:cs="Arial" w:eastAsia="Arial" w:hAnsi="Arial"/>
          <w:b w:val="false"/>
          <w:bCs w:val="false"/>
          <w:sz w:val="21"/>
          <w:szCs w:val="21"/>
          <w:rtl/>
        </w:rPr>
        <w:t xml:space="preserve">مفاتيح سمات الضمان يرسلها العميل بحالة أحرف مختلفة. صار القالب يطابقها بلا حساسية للحالة ويخزن المفتاح الرسمي.</w:t>
      </w:r>
    </w:p>
    <w:p>
      <w:pPr>
        <w:bidi/>
        <w:spacing w:after="60" w:before="0"/>
      </w:pPr>
    </w:p>
    <w:p>
      <w:pPr>
        <w:pStyle w:val="Heading1"/>
        <w:bidi/>
      </w:pPr>
      <w:bookmarkStart w:name="_sec14" w:id="14"/>
      <w:r>
        <w:rPr>
          <w:rFonts w:ascii="Arial" w:cs="Arial" w:eastAsia="Arial" w:hAnsi="Arial"/>
          <w:b/>
          <w:bCs/>
          <w:color w:val="1F3A5F"/>
          <w:sz w:val="32"/>
          <w:szCs w:val="32"/>
          <w:rtl/>
        </w:rPr>
        <w:t xml:space="preserve">6. الاختبار</w:t>
      </w:r>
      <w:bookmarkEnd w:id="14"/>
    </w:p>
    <w:p>
      <w:pPr>
        <w:pStyle w:val="ListParagraph"/>
        <w:numPr>
          <w:ilvl w:val="0"/>
          <w:numId w:val="2"/>
        </w:numPr>
        <w:bidi/>
        <w:spacing w:after="70" w:before="0" w:line="300"/>
      </w:pPr>
      <w:r>
        <w:rPr>
          <w:rFonts w:ascii="Arial" w:cs="Arial" w:eastAsia="Arial" w:hAnsi="Arial"/>
          <w:b w:val="false"/>
          <w:bCs w:val="false"/>
          <w:sz w:val="21"/>
          <w:szCs w:val="21"/>
          <w:rtl/>
        </w:rPr>
        <w:t xml:space="preserve">69 اختبار وحدة، و61 اختبار تكامل على قاعدة حقيقية، واختبار المتصفح (أُضيفت إليه شاشة مقارنة الشروط). كلها ناجحة في </w:t>
      </w:r>
      <w:r>
        <w:rPr>
          <w:rFonts w:ascii="Courier New" w:cs="Courier New" w:eastAsia="Courier New" w:hAnsi="Courier New"/>
          <w:b w:val="false"/>
          <w:bCs w:val="false"/>
          <w:color w:val="1F2937"/>
          <w:sz w:val="18"/>
          <w:szCs w:val="18"/>
          <w:shd w:fill="F1F3F5" w:color="auto" w:val="clear"/>
          <w:rtl/>
        </w:rPr>
        <w:t xml:space="preserve">‎tools/ci/app_ci.sh‎</w:t>
      </w:r>
      <w:r>
        <w:rPr>
          <w:rFonts w:ascii="Arial" w:cs="Arial" w:eastAsia="Arial" w:hAnsi="Arial"/>
          <w:b w:val="false"/>
          <w:bCs w:val="false"/>
          <w:sz w:val="21"/>
          <w:szCs w:val="21"/>
          <w:rtl/>
        </w:rPr>
        <w:t xml:space="preserve"> على الإيداع الأخير.</w:t>
      </w:r>
    </w:p>
    <w:p>
      <w:pPr>
        <w:pStyle w:val="ListParagraph"/>
        <w:numPr>
          <w:ilvl w:val="0"/>
          <w:numId w:val="2"/>
        </w:numPr>
        <w:bidi/>
        <w:spacing w:after="70" w:before="0" w:line="300"/>
      </w:pPr>
      <w:r>
        <w:rPr>
          <w:rFonts w:ascii="Arial" w:cs="Arial" w:eastAsia="Arial" w:hAnsi="Arial"/>
          <w:b w:val="false"/>
          <w:bCs w:val="false"/>
          <w:sz w:val="21"/>
          <w:szCs w:val="21"/>
          <w:rtl/>
        </w:rPr>
        <w:t xml:space="preserve">اختبارات S2 الجديدة: FacilityFoundationTests (4) وFacilityTests (3) وLimitTests (6) وPricingTests (1) وCollateralTests (3) وObligationTests (1) وAgreementPackTests (1).</w:t>
      </w:r>
    </w:p>
    <w:p>
      <w:pPr>
        <w:pStyle w:val="ListParagraph"/>
        <w:numPr>
          <w:ilvl w:val="0"/>
          <w:numId w:val="2"/>
        </w:numPr>
        <w:bidi/>
        <w:spacing w:after="70" w:before="0" w:line="300"/>
      </w:pPr>
      <w:r>
        <w:rPr>
          <w:rFonts w:ascii="Arial" w:cs="Arial" w:eastAsia="Arial" w:hAnsi="Arial"/>
          <w:b/>
          <w:bCs/>
          <w:sz w:val="21"/>
          <w:szCs w:val="21"/>
          <w:rtl/>
        </w:rPr>
        <w:t xml:space="preserve">NFR-PERF-01:</w:t>
      </w:r>
      <w:r>
        <w:rPr>
          <w:rFonts w:ascii="Arial" w:cs="Arial" w:eastAsia="Arial" w:hAnsi="Arial"/>
          <w:b w:val="false"/>
          <w:bCs w:val="false"/>
          <w:sz w:val="21"/>
          <w:szCs w:val="21"/>
          <w:rtl/>
        </w:rPr>
        <w:t xml:space="preserve"> بطاقة تسهيل بعشرين حدًا وثمانين خطًا. أسوأ زمن من عشر قراءات لكل جزء من البطاقة: الرأس 20 مللي ثانية، والحدود 62، والتسعير 14، والالتزامات والأجندة والشروط والضمانات 15 لكل منها، والامتثال 29. والحد ثانيتان. القياس على خادم الاختبار المحلي، لا على بيئة الإنتاج.</w:t>
      </w:r>
    </w:p>
    <w:p>
      <w:pPr>
        <w:pStyle w:val="ListParagraph"/>
        <w:numPr>
          <w:ilvl w:val="0"/>
          <w:numId w:val="2"/>
        </w:numPr>
        <w:bidi/>
        <w:spacing w:after="70" w:before="0" w:line="300"/>
      </w:pPr>
      <w:r>
        <w:rPr>
          <w:rFonts w:ascii="Arial" w:cs="Arial" w:eastAsia="Arial" w:hAnsi="Arial"/>
          <w:b/>
          <w:bCs/>
          <w:sz w:val="21"/>
          <w:szCs w:val="21"/>
          <w:rtl/>
        </w:rPr>
        <w:t xml:space="preserve">AC-FAC-12:</w:t>
      </w:r>
      <w:r>
        <w:rPr>
          <w:rFonts w:ascii="Arial" w:cs="Arial" w:eastAsia="Arial" w:hAnsi="Arial"/>
          <w:b w:val="false"/>
          <w:bCs w:val="false"/>
          <w:sz w:val="21"/>
          <w:szCs w:val="21"/>
          <w:rtl/>
        </w:rPr>
        <w:t xml:space="preserve"> مئة حجز متزامن بـ 100,000 على 4,000,000: أربعون ناجحًا وستون مرفوضًا، وإعادة التشغيل لا تغير شيئًا.</w:t>
      </w:r>
    </w:p>
    <w:p>
      <w:pPr>
        <w:pStyle w:val="ListParagraph"/>
        <w:numPr>
          <w:ilvl w:val="0"/>
          <w:numId w:val="2"/>
        </w:numPr>
        <w:bidi/>
        <w:spacing w:after="70" w:before="0" w:line="300"/>
      </w:pPr>
      <w:r>
        <w:rPr>
          <w:rFonts w:ascii="Arial" w:cs="Arial" w:eastAsia="Arial" w:hAnsi="Arial"/>
          <w:b w:val="false"/>
          <w:bCs w:val="false"/>
          <w:sz w:val="21"/>
          <w:szCs w:val="21"/>
          <w:rtl/>
        </w:rPr>
        <w:t xml:space="preserve">فحوص قاعدة البيانات كلها نجحت على دفعتي S2-A وS2-E، وهما اللتان غيّرتا القاعدة.</w:t>
      </w:r>
    </w:p>
    <w:p>
      <w:pPr>
        <w:bidi/>
        <w:spacing w:after="60" w:before="0"/>
      </w:pPr>
    </w:p>
    <w:p>
      <w:pPr>
        <w:pStyle w:val="Heading1"/>
        <w:bidi/>
      </w:pPr>
      <w:bookmarkStart w:name="_sec15" w:id="15"/>
      <w:r>
        <w:rPr>
          <w:rFonts w:ascii="Arial" w:cs="Arial" w:eastAsia="Arial" w:hAnsi="Arial"/>
          <w:b/>
          <w:bCs/>
          <w:color w:val="1F3A5F"/>
          <w:sz w:val="32"/>
          <w:szCs w:val="32"/>
          <w:rtl/>
        </w:rPr>
        <w:t xml:space="preserve">7. ما بقي خارج S2</w:t>
      </w:r>
      <w:bookmarkEnd w:id="15"/>
    </w:p>
    <w:p>
      <w:pPr>
        <w:pStyle w:val="ListParagraph"/>
        <w:numPr>
          <w:ilvl w:val="0"/>
          <w:numId w:val="2"/>
        </w:numPr>
        <w:bidi/>
        <w:spacing w:after="70" w:before="0" w:line="300"/>
      </w:pPr>
      <w:r>
        <w:rPr>
          <w:rFonts w:ascii="Arial" w:cs="Arial" w:eastAsia="Arial" w:hAnsi="Arial"/>
          <w:b/>
          <w:bCs/>
          <w:sz w:val="21"/>
          <w:szCs w:val="21"/>
          <w:rtl/>
        </w:rPr>
        <w:t xml:space="preserve">لـ S3:</w:t>
      </w:r>
      <w:r>
        <w:rPr>
          <w:rFonts w:ascii="Arial" w:cs="Arial" w:eastAsia="Arial" w:hAnsi="Arial"/>
          <w:b w:val="false"/>
          <w:bCs w:val="false"/>
          <w:sz w:val="21"/>
          <w:szCs w:val="21"/>
          <w:rtl/>
        </w:rPr>
        <w:t xml:space="preserve"> خطافات الحجز والتجاوز والتحويل والتعديل، وفحص شروط الاعتماد المستندي (AC-FAC-3)، وخدمات الاستخدام (AC-FAC-9)، وإعادة AC-FAC-12 عبر المحرك.</w:t>
      </w:r>
    </w:p>
    <w:p>
      <w:pPr>
        <w:pStyle w:val="ListParagraph"/>
        <w:numPr>
          <w:ilvl w:val="0"/>
          <w:numId w:val="2"/>
        </w:numPr>
        <w:bidi/>
        <w:spacing w:after="70" w:before="0" w:line="300"/>
      </w:pPr>
      <w:r>
        <w:rPr>
          <w:rFonts w:ascii="Arial" w:cs="Arial" w:eastAsia="Arial" w:hAnsi="Arial"/>
          <w:b/>
          <w:bCs/>
          <w:sz w:val="21"/>
          <w:szCs w:val="21"/>
          <w:rtl/>
        </w:rPr>
        <w:t xml:space="preserve">لـ S2-ب:</w:t>
      </w:r>
      <w:r>
        <w:rPr>
          <w:rFonts w:ascii="Arial" w:cs="Arial" w:eastAsia="Arial" w:hAnsi="Arial"/>
          <w:b w:val="false"/>
          <w:bCs w:val="false"/>
          <w:sz w:val="21"/>
          <w:szCs w:val="21"/>
          <w:rtl/>
        </w:rPr>
        <w:t xml:space="preserve"> اختبارات التعهدات من القوائم (AC-FAC-7)، ومخالفات الإنذار والمراجعة، ومحلل تعابير الصيغ، وبنود القوائم.</w:t>
      </w:r>
    </w:p>
    <w:p>
      <w:pPr>
        <w:pStyle w:val="ListParagraph"/>
        <w:numPr>
          <w:ilvl w:val="0"/>
          <w:numId w:val="2"/>
        </w:numPr>
        <w:bidi/>
        <w:spacing w:after="70" w:before="0" w:line="300"/>
      </w:pPr>
      <w:r>
        <w:rPr>
          <w:rFonts w:ascii="Arial" w:cs="Arial" w:eastAsia="Arial" w:hAnsi="Arial"/>
          <w:b w:val="false"/>
          <w:bCs w:val="false"/>
          <w:sz w:val="21"/>
          <w:szCs w:val="21"/>
          <w:rtl/>
        </w:rPr>
        <w:t xml:space="preserve">تعهد المحافظة على رأس المال في C مربوط بقالب صافي القيمة الملموسة. هذا تقريب للبند، وتعريف البنود الدقيق يأتي مع بنود القوائم في S2-ب.</w:t>
      </w:r>
    </w:p>
    <w:p>
      <w:pPr>
        <w:pStyle w:val="ListParagraph"/>
        <w:numPr>
          <w:ilvl w:val="0"/>
          <w:numId w:val="2"/>
        </w:numPr>
        <w:bidi/>
        <w:spacing w:after="70" w:before="0" w:line="300"/>
      </w:pPr>
      <w:r>
        <w:rPr>
          <w:rFonts w:ascii="Arial" w:cs="Arial" w:eastAsia="Arial" w:hAnsi="Arial"/>
          <w:b w:val="false"/>
          <w:bCs w:val="false"/>
          <w:sz w:val="21"/>
          <w:szCs w:val="21"/>
          <w:rtl/>
        </w:rPr>
        <w:t xml:space="preserve">فحص سلسلة التدقيق (FR-PLT-025) لم يُبنَ في S2، فلا يدخل الخروج (DOC-B01:158 يشترطه إن بُني).</w:t>
      </w:r>
    </w:p>
    <w:p>
      <w:pPr>
        <w:pStyle w:val="ListParagraph"/>
        <w:numPr>
          <w:ilvl w:val="0"/>
          <w:numId w:val="2"/>
        </w:numPr>
        <w:bidi/>
        <w:spacing w:after="70" w:before="0" w:line="300"/>
      </w:pPr>
      <w:r>
        <w:rPr>
          <w:rFonts w:ascii="Arial" w:cs="Arial" w:eastAsia="Arial" w:hAnsi="Arial"/>
          <w:b w:val="false"/>
          <w:bCs w:val="false"/>
          <w:sz w:val="21"/>
          <w:szCs w:val="21"/>
          <w:rtl/>
        </w:rPr>
        <w:t xml:space="preserve">اختبار المتصفح لا يدخل شاشات التسهيل، لأن مدير المشترك فيه لا يملك صلاحية التسهيلات. وتغطيها اختبارات الواجهة البرمجية.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المهمة JOB-CMP-SYNC تقريرَ جودة يُطلب من الواجهة، لا مهمة ليلية مسجّلة في العامل.</w:t>
      </w:r>
    </w:p>
    <w:p>
      <w:pPr>
        <w:pStyle w:val="ListParagraph"/>
        <w:numPr>
          <w:ilvl w:val="0"/>
          <w:numId w:val="2"/>
        </w:numPr>
        <w:bidi/>
        <w:spacing w:after="70" w:before="0" w:line="300"/>
      </w:pPr>
      <w:r>
        <w:rPr>
          <w:rFonts w:ascii="Arial" w:cs="Arial" w:eastAsia="Arial" w:hAnsi="Arial"/>
          <w:b w:val="false"/>
          <w:bCs w:val="false"/>
          <w:sz w:val="21"/>
          <w:szCs w:val="21"/>
          <w:rtl/>
        </w:rPr>
        <w:t xml:space="preserve">أدوار المُعِدّ والمراجع والمعتمِد لحزم DS-AGR تُوقَّع قبل UAT (DOC-B06 §6.2).</w:t>
      </w:r>
    </w:p>
    <w:p>
      <w:pPr>
        <w:bidi/>
        <w:spacing w:after="6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BankFas — بناء الشريحة S2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المرحلة الثانية: بناء التطبيق — الشريحة S2</dc:title>
  <dc:creator>Claude</dc:creator>
  <dc:description>BankFas database design document</dc:description>
  <cp:lastModifiedBy>Un-named</cp:lastModifiedBy>
  <cp:revision>1</cp:revision>
  <dcterms:created xsi:type="dcterms:W3CDTF">2026-10-22T20:58:31.132Z</dcterms:created>
  <dcterms:modified xsi:type="dcterms:W3CDTF">2026-10-22T20:58:31.132Z</dcterms:modified>
</cp:coreProperties>
</file>

<file path=docProps/custom.xml><?xml version="1.0" encoding="utf-8"?>
<Properties xmlns="http://schemas.openxmlformats.org/officeDocument/2006/custom-properties" xmlns:vt="http://schemas.openxmlformats.org/officeDocument/2006/docPropsVTypes"/>
</file>