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pPr>
        <w:bidi/>
        <w:spacing w:after="50" w:before="0"/>
        <w:ind w:left="0"/>
      </w:pPr>
      <w:hyperlink w:history="1" w:anchor="_sec25">
        <w:r>
          <w:rPr>
            <w:rFonts w:ascii="Arial" w:cs="Arial" w:eastAsia="Arial" w:hAnsi="Arial"/>
            <w:b/>
            <w:bCs/>
            <w:color w:val="1F3A5F"/>
            <w:sz w:val="20"/>
            <w:szCs w:val="20"/>
            <w:rtl/>
          </w:rPr>
          <w:t xml:space="preserve">9. ملحق S1-ب (2026-10-22)</w:t>
        </w:r>
      </w:hyperlink>
    </w:p>
    <w:p>
      <w:pPr>
        <w:bidi/>
        <w:spacing w:after="50" w:before="0"/>
        <w:ind w:left="0"/>
      </w:pPr>
      <w:hyperlink w:history="1" w:anchor="_sec26">
        <w:r>
          <w:rPr>
            <w:rFonts w:ascii="Arial" w:cs="Arial" w:eastAsia="Arial" w:hAnsi="Arial"/>
            <w:b/>
            <w:bCs/>
            <w:color w:val="1F3A5F"/>
            <w:sz w:val="20"/>
            <w:szCs w:val="20"/>
            <w:rtl/>
          </w:rPr>
          <w:t xml:space="preserve">10. ملحق S2 (2026-10-22)</w:t>
        </w:r>
      </w:hyperlink>
    </w:p>
    <w:p>
      <w:pPr>
        <w:bidi/>
        <w:spacing w:after="50" w:before="0"/>
        <w:ind w:left="0"/>
      </w:pPr>
      <w:hyperlink w:history="1" w:anchor="_sec27">
        <w:r>
          <w:rPr>
            <w:rFonts w:ascii="Arial" w:cs="Arial" w:eastAsia="Arial" w:hAnsi="Arial"/>
            <w:b/>
            <w:bCs/>
            <w:color w:val="1F3A5F"/>
            <w:sz w:val="20"/>
            <w:szCs w:val="20"/>
            <w:rtl/>
          </w:rPr>
          <w:t xml:space="preserve">11. ملحق S2-ب (2026-10-23)</w:t>
        </w:r>
      </w:hyperlink>
    </w:p>
    <w:p>
      <w:pPr>
        <w:bidi/>
        <w:spacing w:after="50" w:before="0"/>
        <w:ind w:left="0"/>
      </w:pPr>
      <w:hyperlink w:history="1" w:anchor="_sec28">
        <w:r>
          <w:rPr>
            <w:rFonts w:ascii="Arial" w:cs="Arial" w:eastAsia="Arial" w:hAnsi="Arial"/>
            <w:b/>
            <w:bCs/>
            <w:color w:val="1F3A5F"/>
            <w:sz w:val="20"/>
            <w:szCs w:val="20"/>
            <w:rtl/>
          </w:rPr>
          <w:t xml:space="preserve">12. ملحق S3 (2026-10-23)</w:t>
        </w:r>
      </w:hyperlink>
    </w:p>
    <w:p>
      <w:pPr>
        <w:bidi/>
        <w:spacing w:after="50" w:before="0"/>
        <w:ind w:left="0"/>
      </w:pPr>
      <w:hyperlink w:history="1" w:anchor="_sec29">
        <w:r>
          <w:rPr>
            <w:rFonts w:ascii="Arial" w:cs="Arial" w:eastAsia="Arial" w:hAnsi="Arial"/>
            <w:b/>
            <w:bCs/>
            <w:color w:val="1F3A5F"/>
            <w:sz w:val="20"/>
            <w:szCs w:val="20"/>
            <w:rtl/>
          </w:rPr>
          <w:t xml:space="preserve">13. ملحق S4 (2026-10-24)</w:t>
        </w:r>
      </w:hyperlink>
    </w:p>
    <w:p>
      <w:pPr>
        <w:bidi/>
        <w:spacing w:after="50" w:before="0"/>
        <w:ind w:left="0"/>
      </w:pPr>
      <w:hyperlink w:history="1" w:anchor="_sec30">
        <w:r>
          <w:rPr>
            <w:rFonts w:ascii="Arial" w:cs="Arial" w:eastAsia="Arial" w:hAnsi="Arial"/>
            <w:b/>
            <w:bCs/>
            <w:color w:val="1F3A5F"/>
            <w:sz w:val="20"/>
            <w:szCs w:val="20"/>
            <w:rtl/>
          </w:rPr>
          <w:t xml:space="preserve">14. ملحق S5 (2026-10-24)</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9. ملحق S1-ب (2026-10-22)</w:t>
      </w:r>
      <w:bookmarkEnd w:id="25"/>
    </w:p>
    <w:p>
      <w:pPr>
        <w:bidi/>
        <w:spacing w:after="110" w:before="0" w:line="312"/>
      </w:pPr>
      <w:r>
        <w:rPr>
          <w:rFonts w:ascii="Arial" w:cs="Arial" w:eastAsia="Arial" w:hAnsi="Arial"/>
          <w:b w:val="false"/>
          <w:bCs w:val="false"/>
          <w:sz w:val="21"/>
          <w:szCs w:val="21"/>
          <w:rtl/>
        </w:rPr>
        <w:t xml:space="preserve">كتبه وكيل ذكاء اصطناعي مع بناء S1-ب (</w:t>
      </w:r>
      <w:r>
        <w:rPr>
          <w:rFonts w:ascii="Courier New" w:cs="Courier New" w:eastAsia="Courier New" w:hAnsi="Courier New"/>
          <w:b w:val="false"/>
          <w:bCs w:val="false"/>
          <w:color w:val="1F2937"/>
          <w:sz w:val="18"/>
          <w:szCs w:val="18"/>
          <w:shd w:fill="F1F3F5" w:color="auto" w:val="clear"/>
          <w:rtl/>
        </w:rPr>
        <w:t xml:space="preserve">‎docs/44‎</w:t>
      </w:r>
      <w:r>
        <w:rPr>
          <w:rFonts w:ascii="Arial" w:cs="Arial" w:eastAsia="Arial" w:hAnsi="Arial"/>
          <w:b w:val="false"/>
          <w:bCs w:val="false"/>
          <w:sz w:val="21"/>
          <w:szCs w:val="21"/>
          <w:rtl/>
        </w:rPr>
        <w:t xml:space="preserve">، ADR 0042). مسار الخروج بقرار OQ-12 هو AC-ACC-3 مع AC-ACC-7، ويُعامَل FR-ACC-018 كمتطلب إلزامي لهذا الخروج.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600"/>
        <w:gridCol w:w="5316"/>
        <w:gridCol w:w="974"/>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الملكية 100% والفرق في الرسالة، وإغلاق الصفوف في اليوم السابق، وحدث تدقيق واحد</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‎OwnershipTests.AC_ORG_1_*‎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AC-ORG-2</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المنفردة ثم المشتركة، و«مراجعة يدوية للعملة»، وعدم جمع السقوف المشتركة</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‎GovernanceTests.AC_ORG_2_*‎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AC-ACC-2 (جزء SVC-03)</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250,000 على X، و1,000,000 على Y، و250,000 على V بالمستوى MASTER، وشارة المفوَّض بعدد علاقاته</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‎SignatoryTests.AC_ACC_2_*‎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فحص الكفاية في S3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CEILING_EXCEEDS يُفتح بتحذير وإشعار، ويُقرّ بسبب، ويُحلّ آليًا برفع المنحة؛ NOT_COMPARABLE_CURRENCY بالدولار؛ NO_GRANT ببصمة جديدة عند تقييد المنحة ببنك آخر</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في 11-15 و11-30 و12-08 و12-15 بلا تكرار في اليوم، وEXPIRED في 12-16، والحساب في R-ACC-05</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‎SignatoryTests.AC_ACC_4_*‎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التوقيع: رفض لموظف الخزينة مع سجل، وفتح للمسؤول المالي مع سجل</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‎SignatoryTests.AC_ACC_6_*‎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AC-ACC-7 (جديد)</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R-ACC-04 يسرد تعارضات السيناريو بالشركة والرمز؛ يقرؤه المدقق ولا يقرّ؛ الطباعة تُدقَّق؛ تشغيل المقارنة الليلية مرتين لا يضيف شيئًا</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تصحيحان لنص المعايير بقرارات الموجز:</w:t>
      </w:r>
    </w:p>
    <w:p>
      <w:pPr>
        <w:pStyle w:val="ListParagraph"/>
        <w:numPr>
          <w:ilvl w:val="0"/>
          <w:numId w:val="2"/>
        </w:numPr>
        <w:bidi/>
        <w:spacing w:after="70" w:before="0" w:line="300"/>
      </w:pPr>
      <w:r>
        <w:rPr>
          <w:rFonts w:ascii="Arial" w:cs="Arial" w:eastAsia="Arial" w:hAnsi="Arial"/>
          <w:b/>
          <w:bCs/>
          <w:sz w:val="21"/>
          <w:szCs w:val="21"/>
          <w:rtl/>
        </w:rPr>
        <w:t xml:space="preserve">AC-ACC-4 (OQ-13):</w:t>
      </w:r>
      <w:r>
        <w:rPr>
          <w:rFonts w:ascii="Arial" w:cs="Arial" w:eastAsia="Arial" w:hAnsi="Arial"/>
          <w:b w:val="false"/>
          <w:bCs w:val="false"/>
          <w:sz w:val="21"/>
          <w:szCs w:val="21"/>
          <w:rtl/>
        </w:rPr>
        <w:t xml:space="preserve"> «وثيقة تفويض بلا انتهاء» تُقرأ قرارَ مجلس الإدارة (BOARD_RESOLUTION)، لأن البذور تجعل للوكالة ولتفويض المفوَّضين تاريخ انتهاء إلزاميًا.</w:t>
      </w:r>
    </w:p>
    <w:p>
      <w:pPr>
        <w:pStyle w:val="ListParagraph"/>
        <w:numPr>
          <w:ilvl w:val="0"/>
          <w:numId w:val="2"/>
        </w:numPr>
        <w:bidi/>
        <w:spacing w:after="70" w:before="0" w:line="300"/>
      </w:pPr>
      <w:r>
        <w:rPr>
          <w:rFonts w:ascii="Arial" w:cs="Arial" w:eastAsia="Arial" w:hAnsi="Arial"/>
          <w:b/>
          <w:bCs/>
          <w:sz w:val="21"/>
          <w:szCs w:val="21"/>
          <w:rtl/>
        </w:rPr>
        <w:t xml:space="preserve">AC-ACC-3 (OQ-6):</w:t>
      </w:r>
      <w:r>
        <w:rPr>
          <w:rFonts w:ascii="Arial" w:cs="Arial" w:eastAsia="Arial" w:hAnsi="Arial"/>
          <w:b w:val="false"/>
          <w:bCs w:val="false"/>
          <w:sz w:val="21"/>
          <w:szCs w:val="21"/>
          <w:rtl/>
        </w:rPr>
        <w:t xml:space="preserve"> رفع المنحة إلى 3,500,000 منحة جديدة يوافق عليها مستخدم آخر، ثم يُحلّ التعارض.</w:t>
      </w:r>
    </w:p>
    <w:p>
      <w:pPr>
        <w:bidi/>
        <w:spacing w:after="60" w:before="0"/>
      </w:pPr>
    </w:p>
    <w:p>
      <w:pPr>
        <w:pStyle w:val="Heading1"/>
        <w:bidi/>
      </w:pPr>
      <w:bookmarkStart w:name="_sec26" w:id="26"/>
      <w:r>
        <w:rPr>
          <w:rFonts w:ascii="Arial" w:cs="Arial" w:eastAsia="Arial" w:hAnsi="Arial"/>
          <w:b/>
          <w:bCs/>
          <w:color w:val="1F3A5F"/>
          <w:sz w:val="32"/>
          <w:szCs w:val="32"/>
          <w:rtl/>
        </w:rPr>
        <w:t xml:space="preserve">10. ملحق S2 (2026-10-22)</w:t>
      </w:r>
      <w:bookmarkEnd w:id="26"/>
    </w:p>
    <w:p>
      <w:pPr>
        <w:bidi/>
        <w:spacing w:after="110" w:before="0" w:line="312"/>
      </w:pPr>
      <w:r>
        <w:rPr>
          <w:rFonts w:ascii="Arial" w:cs="Arial" w:eastAsia="Arial" w:hAnsi="Arial"/>
          <w:b w:val="false"/>
          <w:bCs w:val="false"/>
          <w:sz w:val="21"/>
          <w:szCs w:val="21"/>
          <w:rtl/>
        </w:rPr>
        <w:t xml:space="preserve">كتبه وكيل ذكاء اصطناعي مع بناء S2 (</w:t>
      </w:r>
      <w:r>
        <w:rPr>
          <w:rFonts w:ascii="Courier New" w:cs="Courier New" w:eastAsia="Courier New" w:hAnsi="Courier New"/>
          <w:b w:val="false"/>
          <w:bCs w:val="false"/>
          <w:color w:val="1F2937"/>
          <w:sz w:val="18"/>
          <w:szCs w:val="18"/>
          <w:shd w:fill="F1F3F5" w:color="auto" w:val="clear"/>
          <w:rtl/>
        </w:rPr>
        <w:t xml:space="preserve">‎docs/45‎</w:t>
      </w:r>
      <w:r>
        <w:rPr>
          <w:rFonts w:ascii="Arial" w:cs="Arial" w:eastAsia="Arial" w:hAnsi="Arial"/>
          <w:b w:val="false"/>
          <w:bCs w:val="false"/>
          <w:sz w:val="21"/>
          <w:szCs w:val="21"/>
          <w:rtl/>
        </w:rPr>
        <w:t xml:space="preserve">، ADR 0043). مسار الخروج بالافتراض OQ-17: AC-FAC-1 وAC-FAC-4 وAC-FAC-5 وAC-FAC-6 وAC-FAC-8 وAC-FAC-10، وجزء S2 من AC-FAC-2، والمعياران الجديدان AC-FAC-11 وAC-FAC-12، وNFR-PERF-01 على بطاقة تسهيل بمئة حد وخط. أما AC-FAC-3 وAC-FAC-9 فلـ S3، وAC-FAC-7 لـ S2-ب. وAC-FAC-11 وAC-FAC-12 معياران إلزاميان للخروج، بعد أن اعتمد المالك OQ-1 وOQ-17 في 2026-10-23.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0"/>
        <w:gridCol w:w="3034"/>
        <w:gridCol w:w="4437"/>
        <w:gridCol w:w="993"/>
      </w:tblGrid>
      <w:tr>
        <w:trPr>
          <w:cantSplit/>
          <w:tblHeader/>
        </w:trPr>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المشترك 95% (42.75M)، وحد خارج المجموع، وخمسة عشر خطًا، ورفض 46M فوق الأب، والتجزئة 30/10 بتحذير و30/20 مرفوضة؛ واعتماد يغيّر الشجرة ينقل الاستخدام</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AC-FAC-2 (جزء S2)</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 ناقص 6M يعطي 4M؛ حجز 3M يترك 1M؛ 2M ترفض؛ P/C1/C2 بالعقدة الحاكمة؛ طلبان متزامنان بـ 3M على 4M ينجح أحدهما؛ والطلب نفسه مرتين حجز واحد</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‎LimitTests.AC_FAC_2_*‎</w:t>
            </w:r>
            <w:r>
              <w:rPr>
                <w:rFonts w:ascii="Arial" w:cs="Arial" w:eastAsia="Arial" w:hAnsi="Arial"/>
                <w:b w:val="false"/>
                <w:bCs w:val="false"/>
                <w:sz w:val="18"/>
                <w:szCs w:val="18"/>
                <w:rtl/>
              </w:rPr>
              <w:t xml:space="preserve"> (اثنان)</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الخطافات والتحويل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الرسوم 20,000 و15,000 و25,000 و40,000 والحد الأدنى 500 وNO_RULE والضريبة 3,000؛ ثم 1.00% في 2026-06-30 و1.15% في 2026-07-01</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7.15% و35,750.00؛ 7.30% و36,500.00؛ INCOMPLETE بلا قيمة أساس؛ الأرضية 8,750.00؛ الغرامة 4,444.44 ليست دخلًا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الأول)</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ينتهي بعد 51 يومًا «يقترب» مع تنبيهي 90 و60؛ والمنتهي بلا لاحق «غير مؤكد» مع تذكير أسبوعي؛ والتمديد والتجديد</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‎FacilityTests.AC_FAC_6_*‎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الثاني)</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الأجندة 2026-07-29 و2026-08-14 و2026-11-08 (أيام عمل)؛ التقديم في 2026-08-02 متأخر 4 أيام فيفتح LATE_REPORT ويصل CMP.BREACH؛ تغيير 210 إلى 180 يعيد توليد البنود المستقبلية وحدها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‎ObligationTests.AC_FAC_6_second_part_*‎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110% وتجديده 2027-03-01؛ ضمانات 80M مع ضمان غير محدد لا تُجمع؛ التأمين 75% والنقص 10M؛ الإفراج يُخرج البند من تاريخه؛ ولا مجموع كلي؛ والشروط المُسقَطة COL.PN_PCT_OF_LIMIT = 110 وCOL.GUARANTORS_INDIVIDUAL = 2</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‎CollateralTests.AC_FAC_8_*‎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بنسبة فارغة يُحفظ INCOMPLETE ولا يُحتسب، و0% مرفوضة، ونسخة SET لاحقة تعطي 50,000؛ والقيمة المُسقَطة NOT_SPECIFIED خارج الترتيب في المقارنة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AC-FAC-11 (جديد)</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(DS-AGR من A إلى D، اصطناعية) تُحمَّل عبر الواجهة مراجعةً، وتُقدَّم بلا خطأ، ويعتمدها مستخدم آخر، فتُسقَط شروطها وتتولد أجندتها؛ وكل صف في ملخص الحزمة يطابق ما في المنصة (A: السقف المشترك والأجندة؛ B: السلسلة والابن المساوي لأبيه؛ C: حد الصرف خارج المجموع وتعهد الإيراد والتمديد بإرادة البنك؛ D: الأبناء 95% وقيم التعهدات الفارغة NOT_SPECIFIED). وبصمات الحزم تطابق بيانها. ثم تنبيه الانتهاء بساعة مُحقَنة: FAC.EXPIRY_DUE مرة واحدة لـ A، وFAC.VALIDITY_UNCONFIRMED مرة لكل من B وC، وتشغيل ثانٍ في اليوم لا يرسل شيئًا</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‎AgreementPackTests.AC_FAC_11_*‎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(جديد، NFR-PERF-03)</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حجز متزامن بـ 100,000 على متاح 4,000,000: أربعون ACTIVE وستون INSUFFICIENT_AVAILABLE ومجموعها 4,000,000، وإعادة التشغيل بالمفاتيح نفسها لا تغير شيئًا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‎LimitTests.AC_FAC_12_*‎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يُعاد عبر الخطافات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(FR-FAC-028)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تسهيل بعشرين حدًا وثمانين خطًا: كل قراءة من قراءات البطاقة (الرأس، الحدود، التسعير، الالتزامات، الأجندة، الشروط، الضمانات، الامتثال) أسوأ زمن من عشر دون ثانيتين</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‎LimitTests.NFR_PERF_01_*‎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الأسوأ 62 مللي ثانية على خادم الاختبار</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 (جزء الاكتمال)</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الكفيل مقابل ملف البنك ولوحة التسهيل وحزمة الكفيل المقنّعة المدقَّقة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‎CollateralTests.AC_PTY_3_*‎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 في نص AC-FAC-11 بقرار الموجز: «بلا قيد خارج النموذج» يعني ألا تضيع قيمة ولا تُدفع قيمة إلى نص حر. والقيمة التي لم تحددها الاتفاقية تبقى NOT_SPECIFIED_IN_AGREEMENT، ولا تُكتب صفرًا.</w:t>
      </w:r>
    </w:p>
    <w:p>
      <w:pPr>
        <w:bidi/>
        <w:spacing w:after="110" w:before="0" w:line="312"/>
      </w:pPr>
      <w:r>
        <w:rPr>
          <w:rFonts w:ascii="Arial" w:cs="Arial" w:eastAsia="Arial" w:hAnsi="Arial"/>
          <w:b w:val="false"/>
          <w:bCs w:val="false"/>
          <w:sz w:val="21"/>
          <w:szCs w:val="21"/>
          <w:rtl/>
        </w:rPr>
        <w:t xml:space="preserve">تنبيه على الحزم: كتبها وكيل ذكاء اصطناعي من بنية الاتفاقيات في </w:t>
      </w:r>
      <w:r>
        <w:rPr>
          <w:rFonts w:ascii="Courier New" w:cs="Courier New" w:eastAsia="Courier New" w:hAnsi="Courier New"/>
          <w:b w:val="false"/>
          <w:bCs w:val="false"/>
          <w:color w:val="1F2937"/>
          <w:sz w:val="18"/>
          <w:szCs w:val="18"/>
          <w:shd w:fill="F1F3F5" w:color="auto" w:val="clear"/>
          <w:rtl/>
        </w:rPr>
        <w:t xml:space="preserve">‎docs/04‎</w:t>
      </w:r>
      <w:r>
        <w:rPr>
          <w:rFonts w:ascii="Arial" w:cs="Arial" w:eastAsia="Arial" w:hAnsi="Arial"/>
          <w:b w:val="false"/>
          <w:bCs w:val="false"/>
          <w:sz w:val="21"/>
          <w:szCs w:val="21"/>
          <w:rtl/>
        </w:rPr>
        <w:t xml:space="preserve">، وهي اصطناعية بالكامل. أدوار المُعِدّ والمراجع والمعتمِد في DOC-B06 §6.2 تُوقَّع قبل UAT، وحالتها في البيان PROPOSED.</w:t>
      </w:r>
    </w:p>
    <w:p>
      <w:pPr>
        <w:pStyle w:val="Heading1"/>
        <w:bidi/>
      </w:pPr>
      <w:bookmarkStart w:name="_sec27" w:id="27"/>
      <w:r>
        <w:rPr>
          <w:rFonts w:ascii="Arial" w:cs="Arial" w:eastAsia="Arial" w:hAnsi="Arial"/>
          <w:b/>
          <w:bCs/>
          <w:color w:val="1F3A5F"/>
          <w:sz w:val="32"/>
          <w:szCs w:val="32"/>
          <w:rtl/>
        </w:rPr>
        <w:t xml:space="preserve">11. ملحق S2-ب (2026-10-23)</w:t>
      </w:r>
      <w:bookmarkEnd w:id="27"/>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ADR 0044). الخروج بالافتراضين OQ-11 وOQ-17، وقد اعتمدهما المالك في 2026-10-23: </w:t>
      </w:r>
      <w:r>
        <w:rPr>
          <w:rFonts w:ascii="Arial" w:cs="Arial" w:eastAsia="Arial" w:hAnsi="Arial"/>
          <w:b/>
          <w:bCs/>
          <w:sz w:val="21"/>
          <w:szCs w:val="21"/>
          <w:rtl/>
        </w:rPr>
        <w:t xml:space="preserve">AC-FAC-7</w:t>
      </w:r>
      <w:r>
        <w:rPr>
          <w:rFonts w:ascii="Arial" w:cs="Arial" w:eastAsia="Arial" w:hAnsi="Arial"/>
          <w:b w:val="false"/>
          <w:bCs w:val="false"/>
          <w:sz w:val="21"/>
          <w:szCs w:val="21"/>
          <w:rtl/>
        </w:rPr>
        <w:t xml:space="preserve"> مقسومًا على معطياته، و</w:t>
      </w:r>
      <w:r>
        <w:rPr>
          <w:rFonts w:ascii="Arial" w:cs="Arial" w:eastAsia="Arial" w:hAnsi="Arial"/>
          <w:b/>
          <w:bCs/>
          <w:sz w:val="21"/>
          <w:szCs w:val="21"/>
          <w:rtl/>
        </w:rPr>
        <w:t xml:space="preserve">AC-FAC-13</w:t>
      </w:r>
      <w:r>
        <w:rPr>
          <w:rFonts w:ascii="Arial" w:cs="Arial" w:eastAsia="Arial" w:hAnsi="Arial"/>
          <w:b w:val="false"/>
          <w:bCs w:val="false"/>
          <w:sz w:val="21"/>
          <w:szCs w:val="21"/>
          <w:rtl/>
        </w:rPr>
        <w:t xml:space="preserve"> الجديد، ومعهما AC-FIN-1 إلى 9، وهي اختبارات الدفعات من B إلى G.</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3041"/>
        <w:gridCol w:w="4799"/>
        <w:gridCol w:w="972"/>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على قائمة مدققة منفردة: 12,000,000 ÷ 10,500,000 = 1.142857، مخالفة بهامش ‎−0.057143 (‎−4.76%‎)، وتُفتح مخالفة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‎AcFac7Tests.Given_a_current_ratio_below_*‎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(2)</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من مدير الخزينة يجعل المخالفة WAIVED، ويبقى الاختبار BREACH، ويزول سبب الأحمر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‎AcFac7Tests.Given_a_waiver_*‎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(3)</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العرض بأصول متداولة 12,800,000: التقييم 2 بقيمة 1.219048 وإنذار (1.59%)، وNeedsReview، ولا إغلاق</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‎AcFac7Tests.Given_a_restatement_*‎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(4)</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على 620,000 و480,000 و700,000: «كل شهر» 480,000 مخالفة (‎−4%‎)، و«متوسط الفترة» 600,000 ممتثل (‎+20%‎)</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‎AcFac7Tests.Given_monthly_balances_*‎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(5)</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من إيراد 100,000,000: تحويل 14,200,000 يعطي 14.2% مخالفة ويبقى 800,000، و15,900,000 يعطي 15.9% إنذارًا (6%)</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‎AcFac7Tests.Given_a_share_of_revenue_*‎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(6)</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 بلا حد وقيمته 2.0: النتيجة NOT_ASSESSED_NO_THRESHOLD، لا «ممتثل»، واللون لا يتغير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‎AcFac7Tests.Given_no_threshold_*‎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(7)</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تنتهي 2026-09-30 بمهلة 30 يومًا بلا أرصدة: PENDING_DATA حتى 2026-10-30، ثم MISSING_DATA وFIN.DATA_MISSING في 2026-10-31 (ساعة مُحقَنة)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(8)</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لا يعتمد قائمته وإن حمل الصلاحيتين</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‎AcFac7Tests.Given_one_user_with_both_*‎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AC-FAC-13 (جديد)</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الاتفاقيتان C وD من DS-AGR مع حزمة DS-FIN-C الاصطناعية عبر الواجهة. لوحة C في 2028-02-15: كل تعهد مقيس بآخر نتيجة وهامش؛ ولون أحمر بأسبابه (مخالفة غير متنازل عنها، ومخالفة مفتوحة، وسريان غير مؤكد)؛ وصافي القيمة الملموسة أعيد تقييمه بعد إعادة العرض بالتقييم 2 ممتثلًا، ومخالفته معلَّمة للمراجعة؛ وعدادات العائلات؛ والنزول إلى مدخلات الاختبار. وتعهدات D الثلاثة بلا حد عدّاد لا لون. والتسهيل بلا التزامات رمادي. وصف R-OBL-05 يطابق R-OBL-04. والزمن دون ثانيتين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‎S2bExitTests.AC_FAC_13_*‎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S2-ب وإعداداتها في حساب جديد، وحراسات 063</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‎FinanceFoundationTests‎</w:t>
            </w:r>
            <w:r>
              <w:rPr>
                <w:rFonts w:ascii="Arial" w:cs="Arial" w:eastAsia="Arial" w:hAnsi="Arial"/>
                <w:b w:val="false"/>
                <w:bCs w:val="false"/>
                <w:sz w:val="18"/>
                <w:szCs w:val="18"/>
                <w:rtl/>
              </w:rPr>
              <w:t xml:space="preserve"> (اثنان)</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AC-FIN-2</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الإدخال والتوازن والتقديم والاعتماد من غير المُعِدّ والإصدارات</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‎StatementTests.Statement_entry_*‎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AC-FIN-3</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ووحداتها، وتقديرات الإيراد، والكتالوج، واللصق بمعاينة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‎StatementTests.Consolidation_*‎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AC-FIN-4</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الأرصدة الشهرية: إدخال وتأكيد وإعادة فتح بمستخدمين مختلفين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‎MonthlyFigureTests.Monthly_balances_*‎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AC-FIN-5</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التحويلات بمستوى واحد، والأداء في تاريخ (BR-FIN-017)، وإغلاق الفترة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‎MonthlyFigureTests.Bank_flows_*‎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AC-FIN-6</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الرفض عند الحفظ بالموضع، والإصدار والاعتماد، والحساب على قائمة. ومحلل Core بكل قالب</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‎FormulaTests‎</w:t>
            </w:r>
            <w:r>
              <w:rPr>
                <w:rFonts w:ascii="Arial" w:cs="Arial" w:eastAsia="Arial" w:hAnsi="Arial"/>
                <w:b w:val="false"/>
                <w:bCs w:val="false"/>
                <w:sz w:val="18"/>
                <w:szCs w:val="18"/>
                <w:rtl/>
              </w:rPr>
              <w:t xml:space="preserve"> (تكامل ووحدة)</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AC-FIN-7</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الاختبارات من نهاية السنة المالية، والمحرك، والمخالفات وNeedsReview، والقيمة اليدوية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‎CovenantEngineTests‎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‎CovenantPeriodsTests‎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‎CovenantJudgeTests‎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AC-FIN-8</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المحلول CA2 عبر الواجهة بأرقام المرجع، ورفض التقديم بعد تغيّر ما قُرئ، والتجريبي يبقى مسودة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‎CreditTests.CA2_*‎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AC-FIN-9</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CA23 عبر العامل، والجاهزية، والتصنيفات، والتصديق (AU ينجح وTM يُرفض)، وثبات بصمة حزمة الأدلة، واعتماد نسبة الخسارة من غير مُعِدّها</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‎ReadinessTests‎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يغطيه هذا الملحق مكتوب في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§5، ومنه: لا اختبار متصفح لـ S2-ب، وتحوّل AMBER إلى RED في CA23 مغطى في اختبار القاعدة وحده.</w:t>
      </w:r>
    </w:p>
    <w:p>
      <w:pPr>
        <w:bidi/>
        <w:spacing w:after="110" w:before="0" w:line="312"/>
      </w:pPr>
      <w:r>
        <w:rPr>
          <w:rFonts w:ascii="Arial" w:cs="Arial" w:eastAsia="Arial" w:hAnsi="Arial"/>
          <w:b w:val="false"/>
          <w:bCs w:val="false"/>
          <w:sz w:val="21"/>
          <w:szCs w:val="21"/>
          <w:rtl/>
        </w:rPr>
        <w:t xml:space="preserve">تنبيه على الحزمة DS-FIN-C: كتبها وكيل ذكاء اصطناعي، وأرقامها مخترعة. أدوار المُعِدّ والمراجع والمعتمِد تُوقَّع قبل UAT، وحالتها في البيان PROPOSED.</w:t>
      </w:r>
    </w:p>
    <w:p>
      <w:pPr>
        <w:pStyle w:val="Heading1"/>
        <w:bidi/>
      </w:pPr>
      <w:bookmarkStart w:name="_sec28" w:id="28"/>
      <w:r>
        <w:rPr>
          <w:rFonts w:ascii="Arial" w:cs="Arial" w:eastAsia="Arial" w:hAnsi="Arial"/>
          <w:b/>
          <w:bCs/>
          <w:color w:val="1F3A5F"/>
          <w:sz w:val="32"/>
          <w:szCs w:val="32"/>
          <w:rtl/>
        </w:rPr>
        <w:t xml:space="preserve">12. ملحق S3 (2026-10-23)</w:t>
      </w:r>
      <w:bookmarkEnd w:id="28"/>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ADR 0045). بُني S3 على الافتراضات التسعة عشر (OQ-1 إلى OQ-19) في موجزه، وهي </w:t>
      </w:r>
      <w:r>
        <w:rPr>
          <w:rFonts w:ascii="Arial" w:cs="Arial" w:eastAsia="Arial" w:hAnsi="Arial"/>
          <w:b/>
          <w:bCs/>
          <w:sz w:val="21"/>
          <w:szCs w:val="21"/>
          <w:rtl/>
        </w:rPr>
        <w:t xml:space="preserve">بانتظار اعتماد المالك</w:t>
      </w:r>
      <w:r>
        <w:rPr>
          <w:rFonts w:ascii="Arial" w:cs="Arial" w:eastAsia="Arial" w:hAnsi="Arial"/>
          <w:b w:val="false"/>
          <w:bCs w:val="false"/>
          <w:sz w:val="21"/>
          <w:szCs w:val="21"/>
          <w:rtl/>
        </w:rPr>
        <w:t xml:space="preserve">. مسار الخروج بالافتراض OQ-19: </w:t>
      </w:r>
      <w:r>
        <w:rPr>
          <w:rFonts w:ascii="Arial" w:cs="Arial" w:eastAsia="Arial" w:hAnsi="Arial"/>
          <w:b/>
          <w:bCs/>
          <w:sz w:val="21"/>
          <w:szCs w:val="21"/>
          <w:rtl/>
        </w:rPr>
        <w:t xml:space="preserve">AC-REQ-1</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AC-WFL-3</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AC-LCI-1</w:t>
      </w:r>
      <w:r>
        <w:rPr>
          <w:rFonts w:ascii="Arial" w:cs="Arial" w:eastAsia="Arial" w:hAnsi="Arial"/>
          <w:b w:val="false"/>
          <w:bCs w:val="false"/>
          <w:sz w:val="21"/>
          <w:szCs w:val="21"/>
          <w:rtl/>
        </w:rPr>
        <w:t xml:space="preserve">، ومعها اختبارات التعديلات والطابور والتفويض والمهل، وAC-FAC-12 عبر الخطاف، والخروج على البيانات الاصطناعية بالافتراض OQ-13.</w:t>
      </w:r>
    </w:p>
    <w:p>
      <w:pPr>
        <w:bidi/>
        <w:spacing w:after="110" w:before="0" w:line="312"/>
      </w:pPr>
      <w:r>
        <w:rPr>
          <w:rFonts w:ascii="Arial" w:cs="Arial" w:eastAsia="Arial" w:hAnsi="Arial"/>
          <w:b/>
          <w:bCs/>
          <w:sz w:val="21"/>
          <w:szCs w:val="21"/>
          <w:rtl/>
        </w:rPr>
        <w:t xml:space="preserve">الحالة:</w:t>
      </w:r>
      <w:r>
        <w:rPr>
          <w:rFonts w:ascii="Arial" w:cs="Arial" w:eastAsia="Arial" w:hAnsi="Arial"/>
          <w:b w:val="false"/>
          <w:bCs w:val="false"/>
          <w:sz w:val="21"/>
          <w:szCs w:val="21"/>
          <w:rtl/>
        </w:rPr>
        <w:t xml:space="preserve"> كُتبت الاختبارات مع البناء ثم شُغِّلت كلها في الفحص الكامل (</w:t>
      </w:r>
      <w:r>
        <w:rPr>
          <w:rFonts w:ascii="Courier New" w:cs="Courier New" w:eastAsia="Courier New" w:hAnsi="Courier New"/>
          <w:b w:val="false"/>
          <w:bCs w:val="false"/>
          <w:color w:val="1F2937"/>
          <w:sz w:val="18"/>
          <w:szCs w:val="18"/>
          <w:shd w:fill="F1F3F5" w:color="auto" w:val="clear"/>
          <w:rtl/>
        </w:rPr>
        <w:t xml:space="preserve">‎tools/ci/app_ci.sh‎</w:t>
      </w:r>
      <w:r>
        <w:rPr>
          <w:rFonts w:ascii="Arial" w:cs="Arial" w:eastAsia="Arial" w:hAnsi="Arial"/>
          <w:b w:val="false"/>
          <w:bCs w:val="false"/>
          <w:sz w:val="21"/>
          <w:szCs w:val="21"/>
          <w:rtl/>
        </w:rPr>
        <w:t xml:space="preserve">) على الإيداع 5991dad: 157 اختبار وحدة، واختبار المتصفح، و104 اختبارات تكامل، كلها ناجحة. ونجح فحص قاعدة البيانات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كله على a9f8d5f. وكشفت الدورات قبله أخطاء أُصلحت (§5 من docs/48): كلمة محجوزة في لوحة المدير، وجمود في قاعدة البيانات تحت التزامن، وساعة التفويض.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3"/>
        <w:gridCol w:w="2476"/>
        <w:gridCol w:w="4955"/>
        <w:gridCol w:w="970"/>
      </w:tblGrid>
      <w:tr>
        <w:trPr>
          <w:cantSplit/>
          <w:tblHeader/>
        </w:trPr>
        <w:tc>
          <w:tcPr>
            <w:tcW w:type="dxa" w:w="1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AC-REQ-1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شراء من المسودة إلى الإغلاق: الشروط وفحصها (V-LCT) وقفلها عند التقديم؛ موافقة المدير المباشر؛ الرقم مع الأصل الموقّع؛ اختيار الخط؛ حجز 3,000,000 مع التسامح 5% = 3,150,000 عند موافقة مدير الخزينة؛ مرجع ERP والموافقة الثانية؛ تسجيل التنفيذ بإيصال البنك (V-LCI-RECEIPT دونه)؛ الإصدار يحوّل الحجز إلى استخدام في معاملة واحدة؛ الإغلاق</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‎PurchaseLcTests.AC_REQ_1_*‎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يجد الاعتماد برقمه مكتوبًا بشكل آخر؛ تقديم ضمن الانكشاف وآخر فوقه مرفوض (V-LCI-05)؛ قبول البنك والسداد يخفضان الاستخدام؛ الإغلاق ينتظر التقديمات المفتوحة؛ والتسوية الليلية لا تجد فرقًا؛ واعتماد بعد انتهائه EXPIRED بالمهمة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‎PurchaseLcTests.An_issued_credit_*‎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 وAC-WFL-7</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500,000 تُحجز عند موافقة مدير الخزينة، وتعديل ثانٍ مرفوض وهي مفتوحة (V-LCI-07)، وقبول المستفيد يطبقها؛ وزيادة ثانية مرفوضة INSUFFICIENT_AVAILABLE</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‎PurchaseLcTests.An_increase_*‎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على حد واحد: الثاني مرفوض حتى يُلغى الأول</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‎PurchaseLcTests.AC_WFL_3_*‎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OQ-9 (فصل المهام)</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اختار الخط لا يوافق على حجزه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‎PurchaseLcTests.The_user_who_chose_*‎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المنتهي يُفرج عنه ويفقده الطلب</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‎PurchaseLcTests.An_expired_reservation_*‎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يوافق عن المدير، والتفويض الملغى لا يُظهر شيئًا</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سباق الاستلام، والإفراج وإعادة الإسناد، والحالة الفرعية التي توقف المهلة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‎WorkflowQueueTests.AC_WFL_2_*‎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المهل: «في خطر» مرة، و«متجاوز» مرة، والتصعيد عند الفتح التالي</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‎WorkflowQueueTests.AC_WFL_5_*‎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بعد 24 و48 و72 ساعة عمل، والموافقة تنهيه</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‎WorkflowQueueTests.AC_WFL_10_*‎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الستة منشورة لكل مشترك جديد بخطافاتها، والمنشور لا يُعدّل</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‎WorkflowFoundationTests.A_new_account_*‎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عبر الخطاف (NFR-PERF-03)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طلب بـ 100,000 بلا تسامح على خط 4,000,000، تُعدّ واحدًا بعد واحد، ثم مئة موافقة لمدير الخزينة في آن واحد: أربعون تنجح وتحجز 4,000,000، وستون مرفوضة INSUFFICIENT_AVAILABLE لا تحجز شيئًا؛ وإعادة الإرسال بالمفاتيح نفسها لا تغير شيئًا</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‎PurchaseLcTests.AC_FAC_12_*_over_HTTP‎</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IBAN والطباعة ونموذج البنك واللوحات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مرفوض برقم تحقق خاطئ، ويُختم ويُعرض مقنّعًا، ويُقفل مع الشروط، ولا يُكشف إلا لحامل lc.view.internal بسبب؛ الشروط المطبوعة بسياسة CSP خاصة وحاشية UCP لا تُطفأ ما دامت مادة مستعملة غير محققة؛ نموذج البنك ينتظر قالبًا فعالًا ثم يملأ أهدافه ويعدّ الناقص الإلزامي؛ واللوحات الثلاث بحسب الصلاحية</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‎PurchaseLcTests.The_IBAN_the_printed_terms_*‎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خروج S3 على DS-LC-C (OQ-13)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الاعتمادات في الاتفاقية C (50,000,000) مع الاعتمادات الأربعة في الحزمة: اثنان يُصدران (13,200,000 و21,000,000)، والأول يُسحب منه 5,000,000 ويُسدد؛ والثالث يُعتمد ويبقى حجزه 19,800,000؛ والرابع يحتاج 2,000,000 والمتبقي 1,000,000 فتُرفض موافقته. وأرقام الخط بعد كل خطوة كما في الحزمة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‎PurchaseLcTests.S3_exit_*‎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العام ومحرك الطلبات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المسودة إلى الإغلاق، والإعادة دورة جديدة، والتعليقات الداخلية، والاستلامان المتزامنان، والإلغاء</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‎RequestEngineTests‎</w:t>
            </w:r>
            <w:r>
              <w:rPr>
                <w:rFonts w:ascii="Arial" w:cs="Arial" w:eastAsia="Arial" w:hAnsi="Arial"/>
                <w:b w:val="false"/>
                <w:bCs w:val="false"/>
                <w:sz w:val="18"/>
                <w:szCs w:val="18"/>
                <w:rtl/>
              </w:rPr>
              <w:t xml:space="preserve"> (أربعة)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البنود وتحويل الحقول</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نص البند من المعاملات، ومراجع UCP، وتحويلات النموذج (الحروف الكبيرة والتاريخ والهجري والمربع)</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‎ClauseTextTests‎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‎FormFieldTransformTests‎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BR-FAC-021 مرجع المنصة (طلب المالك)</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رمزا الشركة والبنك يؤخذان من رمزيهما، والرمز بشكل آخر مرفوض، ورمز البنك المكرر مرفوض؛ تسهيل بلا فئة لا يُعتمد (V-FAC-REF)؛ الاعتماد الأول يكتب </w:t>
            </w:r>
            <w:r>
              <w:rPr>
                <w:rFonts w:ascii="Courier New" w:cs="Courier New" w:eastAsia="Courier New" w:hAnsi="Courier New"/>
                <w:b w:val="false"/>
                <w:bCs w:val="false"/>
                <w:color w:val="1F2937"/>
                <w:sz w:val="16"/>
                <w:szCs w:val="16"/>
                <w:shd w:fill="F1F3F5" w:color="auto" w:val="clear"/>
                <w:rtl/>
              </w:rPr>
              <w:t xml:space="preserve">‎IMP-SNB-CAP-yy‎</w:t>
            </w:r>
            <w:r>
              <w:rPr>
                <w:rFonts w:ascii="Arial" w:cs="Arial" w:eastAsia="Arial" w:hAnsi="Arial"/>
                <w:b w:val="false"/>
                <w:bCs w:val="false"/>
                <w:sz w:val="18"/>
                <w:szCs w:val="18"/>
                <w:rtl/>
              </w:rPr>
              <w:t xml:space="preserve">، والفئة لا تتغير بعده، وتغيير رمز الشركة لا يغير المرجع المكتوب؛ تسهيل ثانٍ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والبحث يجده؛ والتجديد يرث الجذع بسنته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‎FacilityTests.BR_FAC_021_*‎</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‎FacilityReferenceTests‎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المتصفح (مقطع S3)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المدير، وصندوق المهام، وقوالب نماذج البنوك في بوابة المشترك</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‎e2e/s0.spec.ts‎</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تنبيه على الحزمة DS-LC-C: كتبها وكيل ذكاء اصطناعي، وأرقامها ومورّدوها مخترعون. تُحمَّل الاتفاقية C في الاختبار بعد نقل تواريخها بأشهر كاملة لتكون سارية في يوم التشغيل؛ والملف نفسه لا يتغير وبصمته تُفحص. أدوار المُعِدّ والمراجع والمعتمِد تُوقَّع قبل UAT، وحالتها في البيان PROPOSED.</w:t>
      </w:r>
    </w:p>
    <w:p>
      <w:pPr>
        <w:pStyle w:val="Heading1"/>
        <w:bidi/>
      </w:pPr>
      <w:bookmarkStart w:name="_sec29" w:id="29"/>
      <w:r>
        <w:rPr>
          <w:rFonts w:ascii="Arial" w:cs="Arial" w:eastAsia="Arial" w:hAnsi="Arial"/>
          <w:b/>
          <w:bCs/>
          <w:color w:val="1F3A5F"/>
          <w:sz w:val="32"/>
          <w:szCs w:val="32"/>
          <w:rtl/>
        </w:rPr>
        <w:t xml:space="preserve">13. ملحق S4 (2026-10-24)</w:t>
      </w:r>
      <w:bookmarkEnd w:id="29"/>
    </w:p>
    <w:p>
      <w:pPr>
        <w:bidi/>
        <w:spacing w:after="110" w:before="0" w:line="312"/>
      </w:pPr>
      <w:r>
        <w:rPr>
          <w:rFonts w:ascii="Arial" w:cs="Arial" w:eastAsia="Arial" w:hAnsi="Arial"/>
          <w:b w:val="false"/>
          <w:bCs w:val="false"/>
          <w:sz w:val="21"/>
          <w:szCs w:val="21"/>
          <w:rtl/>
        </w:rPr>
        <w:t xml:space="preserve">كتبه وكيل ذكاء اصطناعي مع بناء S4 (</w:t>
      </w:r>
      <w:r>
        <w:rPr>
          <w:rFonts w:ascii="Courier New" w:cs="Courier New" w:eastAsia="Courier New" w:hAnsi="Courier New"/>
          <w:b w:val="false"/>
          <w:bCs w:val="false"/>
          <w:color w:val="1F2937"/>
          <w:sz w:val="18"/>
          <w:szCs w:val="18"/>
          <w:shd w:fill="F1F3F5" w:color="auto" w:val="clear"/>
          <w:rtl/>
        </w:rPr>
        <w:t xml:space="preserve">‎docs/49‎</w:t>
      </w:r>
      <w:r>
        <w:rPr>
          <w:rFonts w:ascii="Arial" w:cs="Arial" w:eastAsia="Arial" w:hAnsi="Arial"/>
          <w:b w:val="false"/>
          <w:bCs w:val="false"/>
          <w:sz w:val="21"/>
          <w:szCs w:val="21"/>
          <w:rtl/>
        </w:rPr>
        <w:t xml:space="preserve">، ADR 0049). بُني S4 على الافتراضات الاثني عشر (OQ-1 إلى OQ-12) في </w:t>
      </w:r>
      <w:r>
        <w:rPr>
          <w:rFonts w:ascii="Courier New" w:cs="Courier New" w:eastAsia="Courier New" w:hAnsi="Courier New"/>
          <w:b w:val="false"/>
          <w:bCs w:val="false"/>
          <w:color w:val="1F2937"/>
          <w:sz w:val="18"/>
          <w:szCs w:val="18"/>
          <w:shd w:fill="F1F3F5" w:color="auto" w:val="clear"/>
          <w:rtl/>
        </w:rPr>
        <w:t xml:space="preserve">‎docs/49‎</w:t>
      </w:r>
      <w:r>
        <w:rPr>
          <w:rFonts w:ascii="Arial" w:cs="Arial" w:eastAsia="Arial" w:hAnsi="Arial"/>
          <w:b w:val="false"/>
          <w:bCs w:val="false"/>
          <w:sz w:val="21"/>
          <w:szCs w:val="21"/>
          <w:rtl/>
        </w:rPr>
        <w:t xml:space="preserve"> §4، وهي </w:t>
      </w:r>
      <w:r>
        <w:rPr>
          <w:rFonts w:ascii="Arial" w:cs="Arial" w:eastAsia="Arial" w:hAnsi="Arial"/>
          <w:b/>
          <w:bCs/>
          <w:sz w:val="21"/>
          <w:szCs w:val="21"/>
          <w:rtl/>
        </w:rPr>
        <w:t xml:space="preserve">بانتظار اعتماد المالك</w:t>
      </w:r>
      <w:r>
        <w:rPr>
          <w:rFonts w:ascii="Arial" w:cs="Arial" w:eastAsia="Arial" w:hAnsi="Arial"/>
          <w:b w:val="false"/>
          <w:bCs w:val="false"/>
          <w:sz w:val="21"/>
          <w:szCs w:val="21"/>
          <w:rtl/>
        </w:rPr>
        <w:t xml:space="preserve">. مسار الخروج: </w:t>
      </w:r>
      <w:r>
        <w:rPr>
          <w:rFonts w:ascii="Arial" w:cs="Arial" w:eastAsia="Arial" w:hAnsi="Arial"/>
          <w:b/>
          <w:bCs/>
          <w:sz w:val="21"/>
          <w:szCs w:val="21"/>
          <w:rtl/>
        </w:rPr>
        <w:t xml:space="preserve">AC-LCE-1</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AC-LCE-2</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AC-LCE-3</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الحالة:</w:t>
      </w:r>
      <w:r>
        <w:rPr>
          <w:rFonts w:ascii="Arial" w:cs="Arial" w:eastAsia="Arial" w:hAnsi="Arial"/>
          <w:b w:val="false"/>
          <w:bCs w:val="false"/>
          <w:sz w:val="21"/>
          <w:szCs w:val="21"/>
          <w:rtl/>
        </w:rPr>
        <w:t xml:space="preserve"> كُتبت الاختبارات مع البناء، ثم شُغِّلت كلها في الفحص الكامل (</w:t>
      </w:r>
      <w:r>
        <w:rPr>
          <w:rFonts w:ascii="Courier New" w:cs="Courier New" w:eastAsia="Courier New" w:hAnsi="Courier New"/>
          <w:b w:val="false"/>
          <w:bCs w:val="false"/>
          <w:color w:val="1F2937"/>
          <w:sz w:val="18"/>
          <w:szCs w:val="18"/>
          <w:shd w:fill="F1F3F5" w:color="auto" w:val="clear"/>
          <w:rtl/>
        </w:rPr>
        <w:t xml:space="preserve">‎tools/ci/app_ci.sh‎</w:t>
      </w:r>
      <w:r>
        <w:rPr>
          <w:rFonts w:ascii="Arial" w:cs="Arial" w:eastAsia="Arial" w:hAnsi="Arial"/>
          <w:b w:val="false"/>
          <w:bCs w:val="false"/>
          <w:sz w:val="21"/>
          <w:szCs w:val="21"/>
          <w:rtl/>
        </w:rPr>
        <w:t xml:space="preserve">) في 2026-10-25 مع S5: 165 اختبار وحدة، واختبار المتصفح، و121 اختبار تكامل، كلها ناجحة. وكشف الفحص اختبار S3 لعدد الأنواع المبذورة لم يُحدَّث مع S4، فحُدّث (</w:t>
      </w:r>
      <w:r>
        <w:rPr>
          <w:rFonts w:ascii="Courier New" w:cs="Courier New" w:eastAsia="Courier New" w:hAnsi="Courier New"/>
          <w:b w:val="false"/>
          <w:bCs w:val="false"/>
          <w:color w:val="1F2937"/>
          <w:sz w:val="18"/>
          <w:szCs w:val="18"/>
          <w:shd w:fill="F1F3F5" w:color="auto" w:val="clear"/>
          <w:rtl/>
        </w:rPr>
        <w:t xml:space="preserve">‎docs/50‎</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6"/>
        <w:gridCol w:w="2666"/>
        <w:gridCol w:w="4391"/>
        <w:gridCol w:w="991"/>
      </w:tblGrid>
      <w:tr>
        <w:trPr>
          <w:cantSplit/>
          <w:tblHeader/>
        </w:trPr>
        <w:tc>
          <w:tcPr>
            <w:tcW w:type="dxa" w:w="1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AC-LCE-1</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من الطلب إلى الإصدار: بندان (1 LOT × 3,000,000 و2,400 M × 222.80)، والمجموع 3,534,720، والضريبة 15% = 530,208، والإجمالي 4,064,928؛ تقديم بلا بند مرفوض (V-LCE-03)؛ رقم </w:t>
            </w:r>
            <w:r>
              <w:rPr>
                <w:rFonts w:ascii="Courier New" w:cs="Courier New" w:eastAsia="Courier New" w:hAnsi="Courier New"/>
                <w:b w:val="false"/>
                <w:bCs w:val="false"/>
                <w:color w:val="1F2937"/>
                <w:sz w:val="16"/>
                <w:szCs w:val="16"/>
                <w:shd w:fill="F1F3F5" w:color="auto" w:val="clear"/>
                <w:rtl/>
              </w:rPr>
              <w:t xml:space="preserve">‎001-XX05-yy‎</w:t>
            </w:r>
            <w:r>
              <w:rPr>
                <w:rFonts w:ascii="Arial" w:cs="Arial" w:eastAsia="Arial" w:hAnsi="Arial"/>
                <w:b w:val="false"/>
                <w:bCs w:val="false"/>
                <w:sz w:val="18"/>
                <w:szCs w:val="18"/>
                <w:rtl/>
              </w:rPr>
              <w:t xml:space="preserve"> بلا فجوات لكل شركة؛ شركة بلا رمز ERP يُرفض إصدارها ولا تأخذ رقمًا (V-LCE-01)؛ الوثيقة مختومة وفيها الرقم؛ النسخ يأخذ 002 ويحل محل 001؛ الإلغاء لمدير الخزينة بتأكيد جديد، ويبقى الرقم مستعملًا، والإلغاء الثاني مرفوض</w:t>
            </w:r>
          </w:p>
        </w:tc>
        <w:tc>
          <w:tcPr>
            <w:tcW w:type="dxa" w:w="4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‎ProformaTests.AC_LCE_1_*‎</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AC-LCE-2</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بـ 400,000 و300,000 يُحجزان، والثالث بـ 400,000 مرفوض (V-LCE-05)؛ مستندات 350,000 على الأمر الأول، ورفض البنك يعيد كل شيء؛ ثم 350,000 بين الأمر الثاني والمتاح؛ ومعادلة الأرصدة ثابتة في كل خطوة؛ والبحث يجد الاعتماد برقمه مكتوبًا بشكل آخر، ولا يرى موظف المبيعات المراجع الداخلية</w:t>
            </w:r>
          </w:p>
        </w:tc>
        <w:tc>
          <w:tcPr>
            <w:tcW w:type="dxa" w:w="4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‎SalesLcTests.AC_LCE_2_and_3_*‎</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‎SalesRulesTests‎</w:t>
            </w:r>
            <w:r>
              <w:rPr>
                <w:rFonts w:ascii="Arial" w:cs="Arial" w:eastAsia="Arial" w:hAnsi="Arial"/>
                <w:b w:val="false"/>
                <w:bCs w:val="false"/>
                <w:sz w:val="18"/>
                <w:szCs w:val="18"/>
                <w:rtl/>
              </w:rPr>
              <w:t xml:space="preserve"> (وحدة)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AC-LCE-3</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المبلغ بـ 300,000 مع 800,000 محجوز ومسحوب ينقصه 100,000 فيُرفض (V-LCE-11)، وبـ 200,000 يُقبل ويُنشئ نسخة شروط جديدة</w:t>
            </w:r>
          </w:p>
        </w:tc>
        <w:tc>
          <w:tcPr>
            <w:tcW w:type="dxa" w:w="4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‎SalesLcTests.AC_LCE_2_and_3_*‎</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 وLC.RECEIVED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يزيد على إجمالي البروفورما تنبيه يُقَرّ بسبب؛ والإشعار يصل إلى طالب البروفورما؛ والسجل يعدّ الاعتماد</w:t>
            </w:r>
          </w:p>
        </w:tc>
        <w:tc>
          <w:tcPr>
            <w:tcW w:type="dxa" w:w="4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‎SalesFollowUpTests.*‎</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وBR-LCT-021</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مع البروفورما: 90 يومًا مقابل 120 أسوأ لنا، والتأكيد أفضل لنا، والمبلغ الأكبر أفضل لنا؛ وتصير REVIEWED بعد قرار كل فرق</w:t>
            </w:r>
          </w:p>
        </w:tc>
        <w:tc>
          <w:tcPr>
            <w:tcW w:type="dxa" w:w="4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‎SalesFollowUpTests.*‎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‎TermsComparisonTests‎</w:t>
            </w:r>
            <w:r>
              <w:rPr>
                <w:rFonts w:ascii="Arial" w:cs="Arial" w:eastAsia="Arial" w:hAnsi="Arial"/>
                <w:b w:val="false"/>
                <w:bCs w:val="false"/>
                <w:sz w:val="18"/>
                <w:szCs w:val="18"/>
                <w:rtl/>
              </w:rPr>
              <w:t xml:space="preserve"> (وحدة)</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يُتنازل عنها فتعود المستندات مقدَّمة؛ وأخرى تُرفض فتُرفض المستندات ويعود المبلغ؛ ولا يقرر المخالفة إلا صاحب الصلاحية</w:t>
            </w:r>
          </w:p>
        </w:tc>
        <w:tc>
          <w:tcPr>
            <w:tcW w:type="dxa" w:w="4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‎SalesFollowUpTests.*‎</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الليلية</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 تذكّر مرة واحدة بعد 30 يومًا لا قبلها؛ وJOB-LC-RECONCILE لا تجد فرقًا؛ وJOB-LC-EXPIRY تجعل الاعتماد EXPIRED فلا يقبل أمرًا جديدًا (LC_NOT_ACTIVE)</w:t>
            </w:r>
          </w:p>
        </w:tc>
        <w:tc>
          <w:tcPr>
            <w:tcW w:type="dxa" w:w="4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‎SalesFollowUpTests.*‎</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(مقطع S4)</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شاشتا البروفورما والاعتمادات الواردة تفتحان، ولا رابط لهما لمن لا صلاحية له</w:t>
            </w:r>
          </w:p>
        </w:tc>
        <w:tc>
          <w:tcPr>
            <w:tcW w:type="dxa" w:w="4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‎e2e/s0.spec.ts‎</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14. ملحق S5 (2026-10-24)</w:t>
      </w:r>
      <w:bookmarkEnd w:id="30"/>
    </w:p>
    <w:p>
      <w:pPr>
        <w:bidi/>
        <w:spacing w:after="110" w:before="0" w:line="312"/>
      </w:pPr>
      <w:r>
        <w:rPr>
          <w:rFonts w:ascii="Arial" w:cs="Arial" w:eastAsia="Arial" w:hAnsi="Arial"/>
          <w:b w:val="false"/>
          <w:bCs w:val="false"/>
          <w:sz w:val="21"/>
          <w:szCs w:val="21"/>
          <w:rtl/>
        </w:rPr>
        <w:t xml:space="preserve">كتبه وكيل ذكاء اصطناعي مع بناء S5 (</w:t>
      </w:r>
      <w:r>
        <w:rPr>
          <w:rFonts w:ascii="Courier New" w:cs="Courier New" w:eastAsia="Courier New" w:hAnsi="Courier New"/>
          <w:b w:val="false"/>
          <w:bCs w:val="false"/>
          <w:color w:val="1F2937"/>
          <w:sz w:val="18"/>
          <w:szCs w:val="18"/>
          <w:shd w:fill="F1F3F5" w:color="auto" w:val="clear"/>
          <w:rtl/>
        </w:rPr>
        <w:t xml:space="preserve">‎docs/50‎</w:t>
      </w:r>
      <w:r>
        <w:rPr>
          <w:rFonts w:ascii="Arial" w:cs="Arial" w:eastAsia="Arial" w:hAnsi="Arial"/>
          <w:b w:val="false"/>
          <w:bCs w:val="false"/>
          <w:sz w:val="21"/>
          <w:szCs w:val="21"/>
          <w:rtl/>
        </w:rPr>
        <w:t xml:space="preserve">، ADR 0050). بُني S5 على الافتراضات الثمانية (OQ-1 إلى OQ-8) في </w:t>
      </w:r>
      <w:r>
        <w:rPr>
          <w:rFonts w:ascii="Courier New" w:cs="Courier New" w:eastAsia="Courier New" w:hAnsi="Courier New"/>
          <w:b w:val="false"/>
          <w:bCs w:val="false"/>
          <w:color w:val="1F2937"/>
          <w:sz w:val="18"/>
          <w:szCs w:val="18"/>
          <w:shd w:fill="F1F3F5" w:color="auto" w:val="clear"/>
          <w:rtl/>
        </w:rPr>
        <w:t xml:space="preserve">‎docs/50‎</w:t>
      </w:r>
      <w:r>
        <w:rPr>
          <w:rFonts w:ascii="Arial" w:cs="Arial" w:eastAsia="Arial" w:hAnsi="Arial"/>
          <w:b w:val="false"/>
          <w:bCs w:val="false"/>
          <w:sz w:val="21"/>
          <w:szCs w:val="21"/>
          <w:rtl/>
        </w:rPr>
        <w:t xml:space="preserve"> §4، وهي </w:t>
      </w:r>
      <w:r>
        <w:rPr>
          <w:rFonts w:ascii="Arial" w:cs="Arial" w:eastAsia="Arial" w:hAnsi="Arial"/>
          <w:b/>
          <w:bCs/>
          <w:sz w:val="21"/>
          <w:szCs w:val="21"/>
          <w:rtl/>
        </w:rPr>
        <w:t xml:space="preserve">بانتظار اعتماد المالك</w:t>
      </w:r>
      <w:r>
        <w:rPr>
          <w:rFonts w:ascii="Arial" w:cs="Arial" w:eastAsia="Arial" w:hAnsi="Arial"/>
          <w:b w:val="false"/>
          <w:bCs w:val="false"/>
          <w:sz w:val="21"/>
          <w:szCs w:val="21"/>
          <w:rtl/>
        </w:rPr>
        <w:t xml:space="preserve">. لا معايير قبول مكتوبة لـ S5 في المواصفات (§7 من هذا السجل)، فالمعايير هنا من نصوص المتطلبات نفسها.</w:t>
      </w:r>
    </w:p>
    <w:p>
      <w:pPr>
        <w:bidi/>
        <w:spacing w:after="110" w:before="0" w:line="312"/>
      </w:pPr>
      <w:r>
        <w:rPr>
          <w:rFonts w:ascii="Arial" w:cs="Arial" w:eastAsia="Arial" w:hAnsi="Arial"/>
          <w:b/>
          <w:bCs/>
          <w:sz w:val="21"/>
          <w:szCs w:val="21"/>
          <w:rtl/>
        </w:rPr>
        <w:t xml:space="preserve">الحالة:</w:t>
      </w:r>
      <w:r>
        <w:rPr>
          <w:rFonts w:ascii="Arial" w:cs="Arial" w:eastAsia="Arial" w:hAnsi="Arial"/>
          <w:b w:val="false"/>
          <w:bCs w:val="false"/>
          <w:sz w:val="21"/>
          <w:szCs w:val="21"/>
          <w:rtl/>
        </w:rPr>
        <w:t xml:space="preserve"> شُغِّلت في الفحص الكامل في 2026-10-25 مع S4 (165 اختبار وحدة، واختبار المتصفح، و121 اختبار تكامل)، كلها ناجحة.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0"/>
        <w:gridCol w:w="2098"/>
        <w:gridCol w:w="5483"/>
        <w:gridCol w:w="973"/>
      </w:tblGrid>
      <w:tr>
        <w:trPr>
          <w:cantSplit/>
          <w:tblHeader/>
        </w:trPr>
        <w:tc>
          <w:tcPr>
            <w:tcW w:type="dxa" w:w="1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وFR-LCE-028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تقرير في فهرس مدير الخزينة يعمل؛ سجل البروفورمات يجد البروفورما الصادرة؛ مطابقة الثوابت (R-LCE-08) فارغة؛ موظف المبيعات يرى تقارير المبيعات وحدها ويُرفض له تقرير المشتريات (403)؛ التاريخ بصيغة أخرى مرفوض؛ التصدير CSV بعناوينه وصفوفه، ويُسجَّل REPORT_EXPORTED</w:t>
            </w:r>
          </w:p>
        </w:tc>
        <w:tc>
          <w:tcPr>
            <w:tcW w:type="dxa" w:w="5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‎S5Tests.Reports_run_in_scope_and_export_as_csv‎</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وFR-REQ-026 وFR-REQ-022</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عام في مسودة جديدة بحقوله؛ قائمة الطلبات CSV بأعمدة الطالب وحدها، والصيغة الأخرى مرفوضة؛ الأنواع الخمسة الأمثلة لا تُعرض ولا يُنشأ منها طلب</w:t>
            </w:r>
          </w:p>
        </w:tc>
        <w:tc>
          <w:tcPr>
            <w:tcW w:type="dxa" w:w="5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‎S5Tests.Requests_are_copied_exported_*‎</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‎WorkflowFoundationTests‎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وFR-NTF-020</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للبريد وحده (طلبه للتطبيق مرفوض)؛ إشعاران محتجزان لا يرسلهما الإرسال الفوري؛ صباح اليوم التالي رسالة واحدة، وتشغيل ثانٍ لا يرسل شيئًا؛ المقروء يُؤرشف بعد 180 يومًا لا قبلها، وغير المقروء يبقى</w:t>
            </w:r>
          </w:p>
        </w:tc>
        <w:tc>
          <w:tcPr>
            <w:tcW w:type="dxa" w:w="5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‎S5Tests.A_digest_gathers_*‎</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2026-10-25T00:36:21.838Z</dcterms:created>
  <dcterms:modified xsi:type="dcterms:W3CDTF">2026-10-25T00:36:21.839Z</dcterms:modified>
</cp:coreProperties>
</file>

<file path=docProps/custom.xml><?xml version="1.0" encoding="utf-8"?>
<Properties xmlns="http://schemas.openxmlformats.org/officeDocument/2006/custom-properties" xmlns:vt="http://schemas.openxmlformats.org/officeDocument/2006/docPropsVTypes"/>
</file>