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DOC-B07 — قائمة شاشات S0 وخريطة التنقل والنماذج الأولية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شاشات بوابة المشترك في S0</w:t>
        </w:r>
      </w:hyperlink>
    </w:p>
    <w:p>
      <w:pPr>
        <w:bidi/>
        <w:spacing w:after="50" w:before="0"/>
        <w:ind w:left="0"/>
      </w:pPr>
      <w:hyperlink w:history="1" w:anchor="_sec3">
        <w:r>
          <w:rPr>
            <w:rFonts w:ascii="Arial" w:cs="Arial" w:eastAsia="Arial" w:hAnsi="Arial"/>
            <w:b/>
            <w:bCs/>
            <w:color w:val="1F3A5F"/>
            <w:sz w:val="20"/>
            <w:szCs w:val="20"/>
            <w:rtl/>
          </w:rPr>
          <w:t xml:space="preserve">3. شاشات لوحة المشغّل في S0</w:t>
        </w:r>
      </w:hyperlink>
    </w:p>
    <w:p>
      <w:pPr>
        <w:bidi/>
        <w:spacing w:after="50" w:before="0"/>
        <w:ind w:left="0"/>
      </w:pPr>
      <w:hyperlink w:history="1" w:anchor="_sec4">
        <w:r>
          <w:rPr>
            <w:rFonts w:ascii="Arial" w:cs="Arial" w:eastAsia="Arial" w:hAnsi="Arial"/>
            <w:b/>
            <w:bCs/>
            <w:color w:val="1F3A5F"/>
            <w:sz w:val="20"/>
            <w:szCs w:val="20"/>
            <w:rtl/>
          </w:rPr>
          <w:t xml:space="preserve">4. خريطة التنقل</w:t>
        </w:r>
      </w:hyperlink>
    </w:p>
    <w:p>
      <w:pPr>
        <w:bidi/>
        <w:spacing w:after="50" w:before="0"/>
        <w:ind w:left="0"/>
      </w:pPr>
      <w:hyperlink w:history="1" w:anchor="_sec9">
        <w:r>
          <w:rPr>
            <w:rFonts w:ascii="Arial" w:cs="Arial" w:eastAsia="Arial" w:hAnsi="Arial"/>
            <w:b/>
            <w:bCs/>
            <w:color w:val="1F3A5F"/>
            <w:sz w:val="20"/>
            <w:szCs w:val="20"/>
            <w:rtl/>
          </w:rPr>
          <w:t xml:space="preserve">5. النماذج الأولية منخفضة الدقة</w:t>
        </w:r>
      </w:hyperlink>
    </w:p>
    <w:p>
      <w:pPr>
        <w:bidi/>
        <w:spacing w:after="50" w:before="0"/>
        <w:ind w:left="0"/>
      </w:pPr>
      <w:hyperlink w:history="1" w:anchor="_sec15">
        <w:r>
          <w:rPr>
            <w:rFonts w:ascii="Arial" w:cs="Arial" w:eastAsia="Arial" w:hAnsi="Arial"/>
            <w:b/>
            <w:bCs/>
            <w:color w:val="1F3A5F"/>
            <w:sz w:val="20"/>
            <w:szCs w:val="20"/>
            <w:rtl/>
          </w:rPr>
          <w:t xml:space="preserve">6. قواعد مشتركة للشاشات</w:t>
        </w:r>
      </w:hyperlink>
    </w:p>
    <w:p>
      <w:pPr>
        <w:bidi/>
        <w:spacing w:after="50" w:before="0"/>
        <w:ind w:left="0"/>
      </w:pPr>
      <w:hyperlink w:history="1" w:anchor="_sec16">
        <w:r>
          <w:rPr>
            <w:rFonts w:ascii="Arial" w:cs="Arial" w:eastAsia="Arial" w:hAnsi="Arial"/>
            <w:b/>
            <w:bCs/>
            <w:color w:val="1F3A5F"/>
            <w:sz w:val="20"/>
            <w:szCs w:val="20"/>
            <w:rtl/>
          </w:rPr>
          <w:t xml:space="preserve">7.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8.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9. التتبع</w:t>
        </w:r>
      </w:hyperlink>
    </w:p>
    <w:p>
      <w:pPr>
        <w:bidi/>
        <w:spacing w:after="50" w:before="0"/>
        <w:ind w:left="0"/>
      </w:pPr>
      <w:hyperlink w:history="1" w:anchor="_sec19">
        <w:r>
          <w:rPr>
            <w:rFonts w:ascii="Arial" w:cs="Arial" w:eastAsia="Arial" w:hAnsi="Arial"/>
            <w:b/>
            <w:bCs/>
            <w:color w:val="1F3A5F"/>
            <w:sz w:val="20"/>
            <w:szCs w:val="20"/>
            <w:rtl/>
          </w:rPr>
          <w:t xml:space="preserve">10. ملحق S2-ب: شاشات البيانات المالية والتحقق والتقييم (2026-10-23)</w:t>
        </w:r>
      </w:hyperlink>
    </w:p>
    <w:p>
      <w:pPr>
        <w:bidi/>
        <w:spacing w:after="50" w:before="0"/>
        <w:ind w:left="0"/>
      </w:pPr>
      <w:hyperlink w:history="1" w:anchor="_sec20">
        <w:r>
          <w:rPr>
            <w:rFonts w:ascii="Arial" w:cs="Arial" w:eastAsia="Arial" w:hAnsi="Arial"/>
            <w:b/>
            <w:bCs/>
            <w:color w:val="1F3A5F"/>
            <w:sz w:val="20"/>
            <w:szCs w:val="20"/>
            <w:rtl/>
          </w:rPr>
          <w:t xml:space="preserve">11. ملحق S3: شاشات الطلبات والاعتمادات (2026-10-23)</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1"/>
        <w:bidi/>
      </w:pPr>
      <w:bookmarkStart w:name="_sec2" w:id="2"/>
      <w:r>
        <w:rPr>
          <w:rFonts w:ascii="Arial" w:cs="Arial" w:eastAsia="Arial" w:hAnsi="Arial"/>
          <w:b/>
          <w:bCs/>
          <w:color w:val="1F3A5F"/>
          <w:sz w:val="32"/>
          <w:szCs w:val="32"/>
          <w:rtl/>
        </w:rPr>
        <w:t xml:space="preserve">2. شاشات بوابة المشترك في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1"/>
        <w:bidi/>
      </w:pPr>
      <w:bookmarkStart w:name="_sec3" w:id="3"/>
      <w:r>
        <w:rPr>
          <w:rFonts w:ascii="Arial" w:cs="Arial" w:eastAsia="Arial" w:hAnsi="Arial"/>
          <w:b/>
          <w:bCs/>
          <w:color w:val="1F3A5F"/>
          <w:sz w:val="32"/>
          <w:szCs w:val="32"/>
          <w:rtl/>
        </w:rPr>
        <w:t xml:space="preserve">3. شاشات لوحة المشغّل في S0</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1"/>
        <w:bidi/>
      </w:pPr>
      <w:bookmarkStart w:name="_sec4" w:id="4"/>
      <w:r>
        <w:rPr>
          <w:rFonts w:ascii="Arial" w:cs="Arial" w:eastAsia="Arial" w:hAnsi="Arial"/>
          <w:b/>
          <w:bCs/>
          <w:color w:val="1F3A5F"/>
          <w:sz w:val="32"/>
          <w:szCs w:val="32"/>
          <w:rtl/>
        </w:rPr>
        <w:t xml:space="preserve">4. خريطة التنقل</w:t>
      </w:r>
      <w:bookmarkEnd w:id="4"/>
    </w:p>
    <w:p>
      <w:pPr>
        <w:pStyle w:val="Heading2"/>
        <w:bidi/>
      </w:pPr>
      <w:bookmarkStart w:name="_sec5" w:id="5"/>
      <w:r>
        <w:rPr>
          <w:rFonts w:ascii="Arial" w:cs="Arial" w:eastAsia="Arial" w:hAnsi="Arial"/>
          <w:b/>
          <w:bCs/>
          <w:color w:val="2B5C8A"/>
          <w:sz w:val="26"/>
          <w:szCs w:val="26"/>
          <w:rtl/>
        </w:rPr>
        <w:t xml:space="preserve">4.1 العناوين والفصل بين البوابتين</w:t>
      </w:r>
      <w:bookmarkEnd w:id="5"/>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52800"/>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قشرة بوابة المشترك</w:t>
      </w:r>
      <w:bookmarkEnd w:id="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2"/>
        <w:bidi/>
      </w:pPr>
      <w:bookmarkStart w:name="_sec7" w:id="7"/>
      <w:r>
        <w:rPr>
          <w:rFonts w:ascii="Arial" w:cs="Arial" w:eastAsia="Arial" w:hAnsi="Arial"/>
          <w:b/>
          <w:bCs/>
          <w:color w:val="2B5C8A"/>
          <w:sz w:val="26"/>
          <w:szCs w:val="26"/>
          <w:rtl/>
        </w:rPr>
        <w:t xml:space="preserve">4.3 إظهار عناصر القائمة</w:t>
      </w:r>
      <w:bookmarkEnd w:id="7"/>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2"/>
        <w:bidi/>
      </w:pPr>
      <w:bookmarkStart w:name="_sec8" w:id="8"/>
      <w:r>
        <w:rPr>
          <w:rFonts w:ascii="Arial" w:cs="Arial" w:eastAsia="Arial" w:hAnsi="Arial"/>
          <w:b/>
          <w:bCs/>
          <w:color w:val="2B5C8A"/>
          <w:sz w:val="26"/>
          <w:szCs w:val="26"/>
          <w:rtl/>
        </w:rPr>
        <w:t xml:space="preserve">4.4 مبدّل الشركة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 (DQ-B07-1)</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1"/>
        <w:bidi/>
      </w:pPr>
      <w:bookmarkStart w:name="_sec9" w:id="9"/>
      <w:r>
        <w:rPr>
          <w:rFonts w:ascii="Arial" w:cs="Arial" w:eastAsia="Arial" w:hAnsi="Arial"/>
          <w:b/>
          <w:bCs/>
          <w:color w:val="1F3A5F"/>
          <w:sz w:val="32"/>
          <w:szCs w:val="32"/>
          <w:rtl/>
        </w:rPr>
        <w:t xml:space="preserve">5. النماذج الأولية منخفضة الدقة</w:t>
      </w:r>
      <w:bookmarkEnd w:id="9"/>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2"/>
        <w:bidi/>
      </w:pPr>
      <w:bookmarkStart w:name="_sec10" w:id="10"/>
      <w:r>
        <w:rPr>
          <w:rFonts w:ascii="Arial" w:cs="Arial" w:eastAsia="Arial" w:hAnsi="Arial"/>
          <w:b/>
          <w:bCs/>
          <w:color w:val="2B5C8A"/>
          <w:sz w:val="26"/>
          <w:szCs w:val="26"/>
          <w:rtl/>
        </w:rPr>
        <w:t xml:space="preserve">5.1 الدخول (SCR-PLT-01)</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2"/>
        <w:bidi/>
      </w:pPr>
      <w:bookmarkStart w:name="_sec11" w:id="11"/>
      <w:r>
        <w:rPr>
          <w:rFonts w:ascii="Arial" w:cs="Arial" w:eastAsia="Arial" w:hAnsi="Arial"/>
          <w:b/>
          <w:bCs/>
          <w:color w:val="2B5C8A"/>
          <w:sz w:val="26"/>
          <w:szCs w:val="26"/>
          <w:rtl/>
        </w:rPr>
        <w:t xml:space="preserve">5.2 التحقق بخطوتين (SCR-PLT-02)</w:t>
      </w:r>
      <w:bookmarkEnd w:id="11"/>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قائمة المستخدمين (SCR-PLT-07)</w:t>
      </w:r>
      <w:bookmarkEnd w:id="1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2"/>
        <w:bidi/>
      </w:pPr>
      <w:bookmarkStart w:name="_sec13" w:id="13"/>
      <w:r>
        <w:rPr>
          <w:rFonts w:ascii="Arial" w:cs="Arial" w:eastAsia="Arial" w:hAnsi="Arial"/>
          <w:b/>
          <w:bCs/>
          <w:color w:val="2B5C8A"/>
          <w:sz w:val="26"/>
          <w:szCs w:val="26"/>
          <w:rtl/>
        </w:rPr>
        <w:t xml:space="preserve">5.4 بطاقة المستخدم: تبويب الأدوار (SCR-PLT-08)</w:t>
      </w:r>
      <w:bookmarkEnd w:id="1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2"/>
        <w:bidi/>
      </w:pPr>
      <w:bookmarkStart w:name="_sec14" w:id="14"/>
      <w:r>
        <w:rPr>
          <w:rFonts w:ascii="Arial" w:cs="Arial" w:eastAsia="Arial" w:hAnsi="Arial"/>
          <w:b/>
          <w:bCs/>
          <w:color w:val="2B5C8A"/>
          <w:sz w:val="26"/>
          <w:szCs w:val="26"/>
          <w:rtl/>
        </w:rPr>
        <w:t xml:space="preserve">5.5 قائمة المشتركين في لوحة المشغّل (SCR-PLT-52)</w:t>
      </w:r>
      <w:bookmarkEnd w:id="1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1"/>
        <w:bidi/>
      </w:pPr>
      <w:bookmarkStart w:name="_sec15" w:id="15"/>
      <w:r>
        <w:rPr>
          <w:rFonts w:ascii="Arial" w:cs="Arial" w:eastAsia="Arial" w:hAnsi="Arial"/>
          <w:b/>
          <w:bCs/>
          <w:color w:val="1F3A5F"/>
          <w:sz w:val="32"/>
          <w:szCs w:val="32"/>
          <w:rtl/>
        </w:rPr>
        <w:t xml:space="preserve">6. قواعد مشتركة للشاشات</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تعارضات وفجوات في المصادر</w:t>
      </w:r>
      <w:bookmarkEnd w:id="17"/>
    </w:p>
    <w:p>
      <w:pPr>
        <w:pStyle w:val="ListParagraph"/>
        <w:numPr>
          <w:ilvl w:val="0"/>
          <w:numId w:val="3"/>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3"/>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3"/>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3"/>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1"/>
        <w:bidi/>
      </w:pPr>
      <w:bookmarkStart w:name="_sec18" w:id="18"/>
      <w:r>
        <w:rPr>
          <w:rFonts w:ascii="Arial" w:cs="Arial" w:eastAsia="Arial" w:hAnsi="Arial"/>
          <w:b/>
          <w:bCs/>
          <w:color w:val="1F3A5F"/>
          <w:sz w:val="32"/>
          <w:szCs w:val="32"/>
          <w:rtl/>
        </w:rPr>
        <w:t xml:space="preserve">9.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ملحق S2-ب: شاشات البيانات المالية والتحقق والتقييم (2026-10-23)</w:t>
      </w:r>
      <w:bookmarkEnd w:id="19"/>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المواصفة 12 لا تذكر شاشة للمتطلبات FR-FIN-020 إلى 049 (12m:500-512)، فأضاف الموجز SCR-FIN-06 إلى 09 (S2B-GAP-18). كل الشاشات بالعربية واتجاه اليمين إلى اليسار، والأرقام والتواريخ والرموز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4"/>
        <w:gridCol w:w="3821"/>
        <w:gridCol w:w="2687"/>
        <w:gridCol w:w="1942"/>
      </w:tblGrid>
      <w:tr>
        <w:trPr>
          <w:cantSplit/>
          <w:tblHeader/>
        </w:trPr>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‎/financial-statements‎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والرأس، وشبكة البنود بالإجماليات الحية، واللصق بمعاينة، والوحدات، والإصدارات، ومقاييس التحليل</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الأرصدة الشهرية، والتحويلات، والتأكيد وإعادة الفتح، وإغلاق الفترات</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الصيغ، والتحقق الحي بالموضع، والمعاينة على قائمة، والإصدار والاعتماد والنسخ</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‎/reports/statement-breaches‎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SCR-FIN-01</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الخروقات والإنذارات الناشئة عن القوائم</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SCR-FIN-06</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‎/assessments/:id‎</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‎endorse‎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الذاتي: الدرجات النوعية بمبرراتها، والحساب، والعوامل، والملاحظات، والمعالجات، والتقديم والاعتماد والإعادة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SCR-FIN-07</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‎/presentation-versions‎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المعالجات بخطواتها، والبناء، والاختيار بسبب</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SCR-FIN-08</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‎/assessments/:id/readiness‎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‎/lender-ratings‎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صلاحيات التقييم الثلاث</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والتصديق مع أسباب المنع، وحزمة الأدلة وبصمتها، وتصنيفات البنوك والفرق ومواضع الافتراق والمعايرة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SCR-FIN-09</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‎/provision‎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الخسارة واعتمادها، وفحص المخصص لكل قائمة</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التعهدات ونتائجها و«لماذا هذه النتيجة؟»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 و</w:t>
            </w:r>
            <w:r>
              <w:rPr>
                <w:rFonts w:ascii="Courier New" w:cs="Courier New" w:eastAsia="Courier New" w:hAnsi="Courier New"/>
                <w:b w:val="false"/>
                <w:bCs w:val="false"/>
                <w:color w:val="1F2937"/>
                <w:sz w:val="16"/>
                <w:szCs w:val="16"/>
                <w:shd w:fill="F1F3F5" w:color="auto" w:val="clear"/>
                <w:rtl/>
              </w:rPr>
              <w:t xml:space="preserve">‎/reports/compliance‎</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الامتثال بالقاعدة BR-OBL-010 في تاريخ: اللون وأسبابه، والعائلات، والمقاييس وتقييماتها ومخالفاتها؛ وR-OBL-05 للمجموعة بحسب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 ورسائلها تُترجم من </w:t>
      </w:r>
      <w:r>
        <w:rPr>
          <w:rFonts w:ascii="Courier New" w:cs="Courier New" w:eastAsia="Courier New" w:hAnsi="Courier New"/>
          <w:b w:val="false"/>
          <w:bCs w:val="false"/>
          <w:color w:val="1F2937"/>
          <w:sz w:val="18"/>
          <w:szCs w:val="18"/>
          <w:shd w:fill="F1F3F5" w:color="auto" w:val="clear"/>
          <w:rtl/>
        </w:rPr>
        <w:t xml:space="preserve">‎ar.ts‎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التقييم استرشادي داخلي.</w:t>
      </w:r>
      <w:r>
        <w:rPr>
          <w:rFonts w:ascii="Arial" w:cs="Arial" w:eastAsia="Arial" w:hAnsi="Arial"/>
          <w:b w:val="false"/>
          <w:bCs w:val="false"/>
          <w:sz w:val="21"/>
          <w:szCs w:val="21"/>
          <w:rtl/>
        </w:rPr>
        <w:t xml:space="preserve"> تعرض شاشته في رأسها أنه درجة داخلية على سلّم يحمل رموز موديز، وليس تصنيفًا من الوكالة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w:t>
      </w:r>
    </w:p>
    <w:p>
      <w:pPr>
        <w:bidi/>
        <w:spacing w:after="60" w:before="0"/>
      </w:pPr>
    </w:p>
    <w:p>
      <w:pPr>
        <w:pStyle w:val="Heading1"/>
        <w:bidi/>
      </w:pPr>
      <w:bookmarkStart w:name="_sec20" w:id="20"/>
      <w:r>
        <w:rPr>
          <w:rFonts w:ascii="Arial" w:cs="Arial" w:eastAsia="Arial" w:hAnsi="Arial"/>
          <w:b/>
          <w:bCs/>
          <w:color w:val="1F3A5F"/>
          <w:sz w:val="32"/>
          <w:szCs w:val="32"/>
          <w:rtl/>
        </w:rPr>
        <w:t xml:space="preserve">11. ملحق S3: شاشات الطلبات والاعتمادات (2026-10-23)</w:t>
      </w:r>
      <w:bookmarkEnd w:id="20"/>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الشاشات بالعربية واتجاه اليمين إلى اليسار، والأرقام والتواريخ والرموز والأرقام المرجعية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 بُنيت على افتراضات موجز S3 بانتظار اعتماد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3"/>
        <w:gridCol w:w="3917"/>
        <w:gridCol w:w="2569"/>
        <w:gridCol w:w="2155"/>
      </w:tblGrid>
      <w:tr>
        <w:trPr>
          <w:cantSplit/>
          <w:tblHeader/>
        </w:trPr>
        <w:tc>
          <w:tcPr>
            <w:tcW w:type="dxa" w:w="1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SCR-REQ-01 إلى 03</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الطلبات، وإنشاء طلب من قالب منشور، وبطاقة الطلب بمرحلته المرئية وإجراءاته ومرفقاته وتعليقاته؛ ورابط محرر الشروط إن كان في القالب حقل </w:t>
            </w:r>
            <w:r>
              <w:rPr>
                <w:rFonts w:ascii="Courier New" w:cs="Courier New" w:eastAsia="Courier New" w:hAnsi="Courier New"/>
                <w:b w:val="false"/>
                <w:bCs w:val="false"/>
                <w:color w:val="1F2937"/>
                <w:sz w:val="16"/>
                <w:szCs w:val="16"/>
                <w:shd w:fill="F1F3F5" w:color="auto" w:val="clear"/>
                <w:rtl/>
              </w:rPr>
              <w:t xml:space="preserve">‎lc.terms‎</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‎/inbox‎</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ما ينتظرني، والطابور، والمفوَّض إليّ، والمهل</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SCR-REQ-05</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‎/delegations‎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 وإلغاؤها</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SCR-REQ-10 إلى 12</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‎/dashboards‎</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مقدّم الطلب (المفتوح، وما ينتظرني، والمعاد، وما انتهى مؤخرًا)؛ ولوحة موظف الخزينة (مهامي، والطابور، والمتأخر، وما في البنك)؛ ولوحة مدير الخزينة (الموافقات بالمتاح على الخط، وتجاوزات المهل، وقِدم الطابور، وحمل كل موظف، والحجوزات القديمة). ويختار المستخدم اللوحة إن حمل أكثر من صلاحية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SCR-LCT-01</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‎/requests/:id/terms‎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يفتح الطلب (الواجهة البرمجية تفرض التعديل)</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الشروط بأقسامه: الحقول بقوائمها، واختيار المستفيد، ورقم IBAN (يُعرض مقنّعًا)، والمستندات المطلوبة من مكتبة البنود، ونموذج الرسوم، والملاحظات، ورابط الطباعة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SCR-LCT-05</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‎/api/v1/requests/:id/terms/print‎</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الشروط المطبوعة: مراجع UCP، ونجمة على المادة غير المحققة وحاشيتها، وشريط «لم يُراجَع قانونيًا» على البند، والمبلغ كتابة، والبصمة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SCR-LCT-08</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‎/lc-form-templates/:id‎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بإصداراتها وحالاتها، وربط حقول القالب (الهدف والمصدر والتحويل والإلزام). للقراءة فقط؛ والكتابة والتفعيل عبر الواجهة البرمجية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SCR-LCI-13 و14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‎/lcs/:id‎</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‎lc.view.own‎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بالبحث والحالة، وبطاقة الاعتماد بالتقديمات وقرارها وسدادها، والتعديلات، والإغلاق اليدوي. والتسهيل والهامش والاستخدام لحامل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وحده</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w:t>
      </w:r>
    </w:p>
    <w:p>
      <w:pPr>
        <w:pStyle w:val="ListParagraph"/>
        <w:numPr>
          <w:ilvl w:val="0"/>
          <w:numId w:val="2"/>
        </w:numPr>
        <w:bidi/>
        <w:spacing w:after="70" w:before="0" w:line="300"/>
      </w:pPr>
      <w:r>
        <w:rPr>
          <w:rFonts w:ascii="Arial" w:cs="Arial" w:eastAsia="Arial" w:hAnsi="Arial"/>
          <w:b/>
          <w:bCs/>
          <w:sz w:val="21"/>
          <w:szCs w:val="21"/>
          <w:rtl/>
        </w:rPr>
        <w:t xml:space="preserve">الصفحة المطبوعة لها سياسة CSP خاصة</w:t>
      </w:r>
      <w:r>
        <w:rPr>
          <w:rFonts w:ascii="Arial" w:cs="Arial" w:eastAsia="Arial" w:hAnsi="Arial"/>
          <w:b w:val="false"/>
          <w:bCs w:val="false"/>
          <w:sz w:val="21"/>
          <w:szCs w:val="21"/>
          <w:rtl/>
        </w:rPr>
        <w:t xml:space="preserve"> تسمح بنمطها المضمَّن ببصمته وحدها، ولا تحمّل نصًا برمجيًا.</w:t>
      </w:r>
    </w:p>
    <w:p>
      <w:pPr>
        <w:pStyle w:val="ListParagraph"/>
        <w:numPr>
          <w:ilvl w:val="0"/>
          <w:numId w:val="2"/>
        </w:numPr>
        <w:bidi/>
        <w:spacing w:after="70" w:before="0" w:line="300"/>
      </w:pPr>
      <w:r>
        <w:rPr>
          <w:rFonts w:ascii="Arial" w:cs="Arial" w:eastAsia="Arial" w:hAnsi="Arial"/>
          <w:b/>
          <w:bCs/>
          <w:sz w:val="21"/>
          <w:szCs w:val="21"/>
          <w:rtl/>
        </w:rPr>
        <w:t xml:space="preserve">مرجع المنصة للتسهيل (BR-FAC-021).</w:t>
      </w:r>
      <w:r>
        <w:rPr>
          <w:rFonts w:ascii="Arial" w:cs="Arial" w:eastAsia="Arial" w:hAnsi="Arial"/>
          <w:b w:val="false"/>
          <w:bCs w:val="false"/>
          <w:sz w:val="21"/>
          <w:szCs w:val="21"/>
          <w:rtl/>
        </w:rPr>
        <w:t xml:space="preserve"> قائمة التسهيلات وبطاقته تعرضان المرجع </w:t>
      </w:r>
      <w:r>
        <w:rPr>
          <w:rFonts w:ascii="Courier New" w:cs="Courier New" w:eastAsia="Courier New" w:hAnsi="Courier New"/>
          <w:b w:val="false"/>
          <w:bCs w:val="false"/>
          <w:color w:val="1F2937"/>
          <w:sz w:val="18"/>
          <w:szCs w:val="18"/>
          <w:shd w:fill="F1F3F5" w:color="auto" w:val="clear"/>
          <w:rtl/>
        </w:rPr>
        <w:t xml:space="preserve">‎IMP-SNB-CAP-26‎</w:t>
      </w:r>
      <w:r>
        <w:rPr>
          <w:rFonts w:ascii="Arial" w:cs="Arial" w:eastAsia="Arial" w:hAnsi="Arial"/>
          <w:b w:val="false"/>
          <w:bCs w:val="false"/>
          <w:sz w:val="21"/>
          <w:szCs w:val="21"/>
          <w:rtl/>
        </w:rPr>
        <w:t xml:space="preserve"> متى كُتب، وقبله معاينته وما ينقصه. ونموذج التسهيل الجديد وتعديل رأسه فيهما «الفئة في المرجع». وبطاقة الشركة ونموذجها فيهما «رمز المرجع»، وكذلك بطاقة المنشأة ونموذجها ومعالج إعداد البنك.</w:t>
      </w:r>
    </w:p>
    <w:p>
      <w:pPr>
        <w:pStyle w:val="ListParagraph"/>
        <w:numPr>
          <w:ilvl w:val="0"/>
          <w:numId w:val="2"/>
        </w:numPr>
        <w:bidi/>
        <w:spacing w:after="70" w:before="0" w:line="300"/>
      </w:pPr>
      <w:r>
        <w:rPr>
          <w:rFonts w:ascii="Arial" w:cs="Arial" w:eastAsia="Arial" w:hAnsi="Arial"/>
          <w:b/>
          <w:bCs/>
          <w:sz w:val="21"/>
          <w:szCs w:val="21"/>
          <w:rtl/>
        </w:rPr>
        <w:t xml:space="preserve">لم تُبنَ بعد:</w:t>
      </w:r>
      <w:r>
        <w:rPr>
          <w:rFonts w:ascii="Arial" w:cs="Arial" w:eastAsia="Arial" w:hAnsi="Arial"/>
          <w:b w:val="false"/>
          <w:bCs w:val="false"/>
          <w:sz w:val="21"/>
          <w:szCs w:val="21"/>
          <w:rtl/>
        </w:rPr>
        <w:t xml:space="preserve"> شاشة كتابة قالب نموذج البنك وربط حقوله (تُكتب عبر الواجهة البرمجية الآن)، وشاشة القوالب المرئية لنماذج البنوك بتخطيطها.</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e7e867d2dbafc34b7737504e5f925aabeeb1a8.png"/><Relationship Id="rId10" Type="http://schemas.openxmlformats.org/officeDocument/2006/relationships/image" Target="media/31ed743abca1cf91bfe53c50576bc1d09bc2c42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DOC-B07 — قائمة شاشات S0 وخريطة التنقل والنماذج الأولية</dc:title>
  <dc:creator>Claude</dc:creator>
  <dc:description>BankFas database design document</dc:description>
  <cp:lastModifiedBy>Un-named</cp:lastModifiedBy>
  <cp:revision>1</cp:revision>
  <dcterms:created xsi:type="dcterms:W3CDTF">2026-10-25T00:36:39.660Z</dcterms:created>
  <dcterms:modified xsi:type="dcterms:W3CDTF">2026-10-25T00:36:39.660Z</dcterms:modified>
</cp:coreProperties>
</file>

<file path=docProps/custom.xml><?xml version="1.0" encoding="utf-8"?>
<Properties xmlns="http://schemas.openxmlformats.org/officeDocument/2006/custom-properties" xmlns:vt="http://schemas.openxmlformats.org/officeDocument/2006/docPropsVTypes"/>
</file>