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DOC-S11 — دليل نشر قاعدة البيانات على الخادم باستخدام deploy.sh</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تفعله الأداة اليوم</w:t>
        </w:r>
      </w:hyperlink>
    </w:p>
    <w:p>
      <w:pPr>
        <w:bidi/>
        <w:spacing w:after="50" w:before="0"/>
        <w:ind w:left="0"/>
      </w:pPr>
      <w:hyperlink w:history="1" w:anchor="_sec3">
        <w:r>
          <w:rPr>
            <w:rFonts w:ascii="Arial" w:cs="Arial" w:eastAsia="Arial" w:hAnsi="Arial"/>
            <w:b/>
            <w:bCs/>
            <w:color w:val="1F3A5F"/>
            <w:sz w:val="20"/>
            <w:szCs w:val="20"/>
            <w:rtl/>
          </w:rPr>
          <w:t xml:space="preserve">3. مسار النشر الجديد في الإنتاج</w:t>
        </w:r>
      </w:hyperlink>
    </w:p>
    <w:p>
      <w:pPr>
        <w:bidi/>
        <w:spacing w:after="50" w:before="0"/>
        <w:ind w:left="0"/>
      </w:pPr>
      <w:hyperlink w:history="1" w:anchor="_sec4">
        <w:r>
          <w:rPr>
            <w:rFonts w:ascii="Arial" w:cs="Arial" w:eastAsia="Arial" w:hAnsi="Arial"/>
            <w:b/>
            <w:bCs/>
            <w:color w:val="1F3A5F"/>
            <w:sz w:val="20"/>
            <w:szCs w:val="20"/>
            <w:rtl/>
          </w:rPr>
          <w:t xml:space="preserve">4. المتطلبات المسبقة</w:t>
        </w:r>
      </w:hyperlink>
    </w:p>
    <w:p>
      <w:pPr>
        <w:bidi/>
        <w:spacing w:after="50" w:before="0"/>
        <w:ind w:left="0"/>
      </w:pPr>
      <w:hyperlink w:history="1" w:anchor="_sec5">
        <w:r>
          <w:rPr>
            <w:rFonts w:ascii="Arial" w:cs="Arial" w:eastAsia="Arial" w:hAnsi="Arial"/>
            <w:b/>
            <w:bCs/>
            <w:color w:val="1F3A5F"/>
            <w:sz w:val="20"/>
            <w:szCs w:val="20"/>
            <w:rtl/>
          </w:rPr>
          <w:t xml:space="preserve">5. متغيرات البيئة</w:t>
        </w:r>
      </w:hyperlink>
    </w:p>
    <w:p>
      <w:pPr>
        <w:bidi/>
        <w:spacing w:after="50" w:before="0"/>
        <w:ind w:left="0"/>
      </w:pPr>
      <w:hyperlink w:history="1" w:anchor="_sec8">
        <w:r>
          <w:rPr>
            <w:rFonts w:ascii="Arial" w:cs="Arial" w:eastAsia="Arial" w:hAnsi="Arial"/>
            <w:b/>
            <w:bCs/>
            <w:color w:val="1F3A5F"/>
            <w:sz w:val="20"/>
            <w:szCs w:val="20"/>
            <w:rtl/>
          </w:rPr>
          <w:t xml:space="preserve">6. النشر الجديد اليوم</w:t>
        </w:r>
      </w:hyperlink>
    </w:p>
    <w:p>
      <w:pPr>
        <w:bidi/>
        <w:spacing w:after="50" w:before="0"/>
        <w:ind w:left="0"/>
      </w:pPr>
      <w:hyperlink w:history="1" w:anchor="_sec11">
        <w:r>
          <w:rPr>
            <w:rFonts w:ascii="Arial" w:cs="Arial" w:eastAsia="Arial" w:hAnsi="Arial"/>
            <w:b/>
            <w:bCs/>
            <w:color w:val="1F3A5F"/>
            <w:sz w:val="20"/>
            <w:szCs w:val="20"/>
            <w:rtl/>
          </w:rPr>
          <w:t xml:space="preserve">7. ترقية قاعدة قائمة</w:t>
        </w:r>
      </w:hyperlink>
    </w:p>
    <w:p>
      <w:pPr>
        <w:bidi/>
        <w:spacing w:after="50" w:before="0"/>
        <w:ind w:left="0"/>
      </w:pPr>
      <w:hyperlink w:history="1" w:anchor="_sec14">
        <w:r>
          <w:rPr>
            <w:rFonts w:ascii="Arial" w:cs="Arial" w:eastAsia="Arial" w:hAnsi="Arial"/>
            <w:b/>
            <w:bCs/>
            <w:color w:val="1F3A5F"/>
            <w:sz w:val="20"/>
            <w:szCs w:val="20"/>
            <w:rtl/>
          </w:rPr>
          <w:t xml:space="preserve">8. الفحوص</w:t>
        </w:r>
      </w:hyperlink>
    </w:p>
    <w:p>
      <w:pPr>
        <w:bidi/>
        <w:spacing w:after="50" w:before="0"/>
        <w:ind w:left="0"/>
      </w:pPr>
      <w:hyperlink w:history="1" w:anchor="_sec18">
        <w:r>
          <w:rPr>
            <w:rFonts w:ascii="Arial" w:cs="Arial" w:eastAsia="Arial" w:hAnsi="Arial"/>
            <w:b/>
            <w:bCs/>
            <w:color w:val="1F3A5F"/>
            <w:sz w:val="20"/>
            <w:szCs w:val="20"/>
            <w:rtl/>
          </w:rPr>
          <w:t xml:space="preserve">9. التراجع</w:t>
        </w:r>
      </w:hyperlink>
    </w:p>
    <w:p>
      <w:pPr>
        <w:bidi/>
        <w:spacing w:after="50" w:before="0"/>
        <w:ind w:left="0"/>
      </w:pPr>
      <w:hyperlink w:history="1" w:anchor="_sec19">
        <w:r>
          <w:rPr>
            <w:rFonts w:ascii="Arial" w:cs="Arial" w:eastAsia="Arial" w:hAnsi="Arial"/>
            <w:b/>
            <w:bCs/>
            <w:color w:val="1F3A5F"/>
            <w:sz w:val="20"/>
            <w:szCs w:val="20"/>
            <w:rtl/>
          </w:rPr>
          <w:t xml:space="preserve">10. النافذة والتوقيع</w:t>
        </w:r>
      </w:hyperlink>
    </w:p>
    <w:p>
      <w:pPr>
        <w:bidi/>
        <w:spacing w:after="50" w:before="0"/>
        <w:ind w:left="0"/>
      </w:pPr>
      <w:hyperlink w:history="1" w:anchor="_sec20">
        <w:r>
          <w:rPr>
            <w:rFonts w:ascii="Arial" w:cs="Arial" w:eastAsia="Arial" w:hAnsi="Arial"/>
            <w:b/>
            <w:bCs/>
            <w:color w:val="1F3A5F"/>
            <w:sz w:val="20"/>
            <w:szCs w:val="20"/>
            <w:rtl/>
          </w:rPr>
          <w:t xml:space="preserve">11. تعديلات مقترحة على الأدوات (لم تُنفَّذ)</w:t>
        </w:r>
      </w:hyperlink>
    </w:p>
    <w:p>
      <w:pPr>
        <w:bidi/>
        <w:spacing w:after="50" w:before="0"/>
        <w:ind w:left="0"/>
      </w:pPr>
      <w:hyperlink w:history="1" w:anchor="_sec21">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1"/>
        <w:bidi/>
      </w:pPr>
      <w:bookmarkStart w:name="_sec2" w:id="2"/>
      <w:r>
        <w:rPr>
          <w:rFonts w:ascii="Arial" w:cs="Arial" w:eastAsia="Arial" w:hAnsi="Arial"/>
          <w:b/>
          <w:bCs/>
          <w:color w:val="1F3A5F"/>
          <w:sz w:val="32"/>
          <w:szCs w:val="32"/>
          <w:rtl/>
        </w:rPr>
        <w:t xml:space="preserve">2. ما تفعله الأداة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1"/>
        <w:bidi/>
      </w:pPr>
      <w:bookmarkStart w:name="_sec3" w:id="3"/>
      <w:r>
        <w:rPr>
          <w:rFonts w:ascii="Arial" w:cs="Arial" w:eastAsia="Arial" w:hAnsi="Arial"/>
          <w:b/>
          <w:bCs/>
          <w:color w:val="1F3A5F"/>
          <w:sz w:val="32"/>
          <w:szCs w:val="32"/>
          <w:rtl/>
        </w:rPr>
        <w:t xml:space="preserve">3. مسار النشر الجديد في الإنتاج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49339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93395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المتطلبات المسبقة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مستخدم DBA الذي يشغّل الأداة، بصلاحية 600 أو 400، كما يفرضه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متغيرات البيئة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5.1 مشكلة </w:t>
      </w:r>
      <w:r>
        <w:rPr>
          <w:rFonts w:ascii="Courier New" w:cs="Courier New" w:eastAsia="Courier New" w:hAnsi="Courier New"/>
          <w:b/>
          <w:bCs/>
          <w:color w:val="1F2937"/>
          <w:sz w:val="22"/>
          <w:szCs w:val="22"/>
          <w:rtl/>
        </w:rPr>
        <w:t xml:space="preserve">‎-C‎</w:t>
      </w:r>
      <w:r>
        <w:rPr>
          <w:rFonts w:ascii="Arial" w:cs="Arial" w:eastAsia="Arial" w:hAnsi="Arial"/>
          <w:b/>
          <w:bCs/>
          <w:color w:val="2B5C8A"/>
          <w:sz w:val="26"/>
          <w:szCs w:val="26"/>
          <w:rtl/>
        </w:rPr>
        <w:t xml:space="preserve"> الافتراضي (DQ-S05-7)</w:t>
      </w:r>
      <w:bookmarkEnd w:id="6"/>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5.2 الاستدعاء </w:t>
      </w:r>
      <w:r>
        <w:rPr>
          <w:rFonts w:ascii="Arial" w:cs="Arial" w:eastAsia="Arial" w:hAnsi="Arial"/>
          <w:color w:val="E0A800"/>
          <w:sz w:val="26"/>
          <w:szCs w:val="26"/>
          <w:rtl/>
        </w:rPr>
        <w:t xml:space="preserve">●</w:t>
      </w:r>
      <w:bookmarkEnd w:id="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3"/>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1"/>
        <w:bidi/>
      </w:pPr>
      <w:bookmarkStart w:name="_sec8" w:id="8"/>
      <w:r>
        <w:rPr>
          <w:rFonts w:ascii="Arial" w:cs="Arial" w:eastAsia="Arial" w:hAnsi="Arial"/>
          <w:b/>
          <w:bCs/>
          <w:color w:val="1F3A5F"/>
          <w:sz w:val="32"/>
          <w:szCs w:val="32"/>
          <w:rtl/>
        </w:rPr>
        <w:t xml:space="preserve">6. النشر الجديد اليوم</w:t>
      </w:r>
      <w:bookmarkEnd w:id="8"/>
    </w:p>
    <w:p>
      <w:pPr>
        <w:pStyle w:val="Heading2"/>
        <w:bidi/>
      </w:pPr>
      <w:bookmarkStart w:name="_sec9" w:id="9"/>
      <w:r>
        <w:rPr>
          <w:rFonts w:ascii="Arial" w:cs="Arial" w:eastAsia="Arial" w:hAnsi="Arial"/>
          <w:b/>
          <w:bCs/>
          <w:color w:val="2B5C8A"/>
          <w:sz w:val="26"/>
          <w:szCs w:val="26"/>
          <w:rtl/>
        </w:rPr>
        <w:t xml:space="preserve">6.1 من ينشئ القاعدة </w:t>
      </w:r>
      <w:r>
        <w:rPr>
          <w:rFonts w:ascii="Arial" w:cs="Arial" w:eastAsia="Arial" w:hAnsi="Arial"/>
          <w:color w:val="E0A800"/>
          <w:sz w:val="26"/>
          <w:szCs w:val="26"/>
          <w:rtl/>
        </w:rPr>
        <w:t xml:space="preserve">●</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2"/>
        <w:bidi/>
      </w:pPr>
      <w:bookmarkStart w:name="_sec10" w:id="10"/>
      <w:r>
        <w:rPr>
          <w:rFonts w:ascii="Arial" w:cs="Arial" w:eastAsia="Arial" w:hAnsi="Arial"/>
          <w:b/>
          <w:bCs/>
          <w:color w:val="2B5C8A"/>
          <w:sz w:val="26"/>
          <w:szCs w:val="26"/>
          <w:rtl/>
        </w:rPr>
        <w:t xml:space="preserve">6.2 الخطوات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7. ترقية قاعدة قائمة</w:t>
      </w:r>
      <w:bookmarkEnd w:id="11"/>
    </w:p>
    <w:p>
      <w:pPr>
        <w:pStyle w:val="Heading2"/>
        <w:bidi/>
      </w:pPr>
      <w:bookmarkStart w:name="_sec12" w:id="12"/>
      <w:r>
        <w:rPr>
          <w:rFonts w:ascii="Arial" w:cs="Arial" w:eastAsia="Arial" w:hAnsi="Arial"/>
          <w:b/>
          <w:bCs/>
          <w:color w:val="2B5C8A"/>
          <w:sz w:val="26"/>
          <w:szCs w:val="26"/>
          <w:rtl/>
        </w:rPr>
        <w:t xml:space="preserve">7.1 الوضع اليوم </w:t>
      </w:r>
      <w:r>
        <w:rPr>
          <w:rFonts w:ascii="Arial" w:cs="Arial" w:eastAsia="Arial" w:hAnsi="Arial"/>
          <w:color w:val="2E9E44"/>
          <w:sz w:val="26"/>
          <w:szCs w:val="26"/>
          <w:rtl/>
        </w:rPr>
        <w:t xml:space="preserve">●</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مسار الترقية موجود: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سجل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w:t>
      </w:r>
      <w:r>
        <w:rPr>
          <w:rFonts w:ascii="Courier New" w:cs="Courier New" w:eastAsia="Courier New" w:hAnsi="Courier New"/>
          <w:b w:val="false"/>
          <w:bCs w:val="false"/>
          <w:color w:val="1F2937"/>
          <w:sz w:val="18"/>
          <w:szCs w:val="18"/>
          <w:shd w:fill="F1F3F5" w:color="auto" w:val="clear"/>
          <w:rtl/>
        </w:rPr>
        <w:t xml:space="preserve">‎db/static/056_schema_fingerprint.sql‎</w:t>
      </w:r>
      <w:r>
        <w:rPr>
          <w:rFonts w:ascii="Arial" w:cs="Arial" w:eastAsia="Arial" w:hAnsi="Arial"/>
          <w:b w:val="false"/>
          <w:bCs w:val="false"/>
          <w:sz w:val="21"/>
          <w:szCs w:val="21"/>
          <w:rtl/>
        </w:rPr>
        <w:t xml:space="preserve">؛ ADR 0034؛ O-2 محلول في docs/20-database-design.md:627). يختبره CI في الخطوة 22d (MG1 إلى MG12).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يبني قاعدة جديدة فقط، ويرفض قاعدة فيها جداول (50142)؛ ثم يسجّل خط الأساس (</w:t>
      </w:r>
      <w:r>
        <w:rPr>
          <w:rFonts w:ascii="Courier New" w:cs="Courier New" w:eastAsia="Courier New" w:hAnsi="Courier New"/>
          <w:b w:val="false"/>
          <w:bCs w:val="false"/>
          <w:color w:val="1F2937"/>
          <w:sz w:val="18"/>
          <w:szCs w:val="18"/>
          <w:shd w:fill="F1F3F5" w:color="auto" w:val="clear"/>
          <w:rtl/>
        </w:rPr>
        <w:t xml:space="preserve">‎migrate.sh baseline --after-deploy‎</w:t>
      </w:r>
      <w:r>
        <w:rPr>
          <w:rFonts w:ascii="Arial" w:cs="Arial" w:eastAsia="Arial" w:hAnsi="Arial"/>
          <w:b w:val="false"/>
          <w:bCs w:val="false"/>
          <w:sz w:val="21"/>
          <w:szCs w:val="21"/>
          <w:rtl/>
        </w:rPr>
        <w:t xml:space="preserve">) ومعه السكربتات المرقّمة الموجودة على أنها مطبّقة، لأن القاعدة بُنيت من النموذج الذي تنتهي إليه (المراجعة الداخلية v6، D3).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من </w:t>
      </w:r>
      <w:r>
        <w:rPr>
          <w:rFonts w:ascii="Courier New" w:cs="Courier New" w:eastAsia="Courier New" w:hAnsi="Courier New"/>
          <w:b w:val="false"/>
          <w:bCs w:val="false"/>
          <w:color w:val="1F2937"/>
          <w:sz w:val="18"/>
          <w:szCs w:val="18"/>
          <w:shd w:fill="F1F3F5" w:color="auto" w:val="clear"/>
          <w:rtl/>
        </w:rPr>
        <w:t xml:space="preserve">‎004‎</w:t>
      </w:r>
      <w:r>
        <w:rPr>
          <w:rFonts w:ascii="Arial" w:cs="Arial" w:eastAsia="Arial" w:hAnsi="Arial"/>
          <w:b w:val="false"/>
          <w:bCs w:val="false"/>
          <w:sz w:val="21"/>
          <w:szCs w:val="21"/>
          <w:rtl/>
        </w:rPr>
        <w:t xml:space="preserve"> فصاعدًا متكررة: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في معاملة واحدة، ويثبت CI أن إعادتها لا تغيّر البصمة (MG3).</w:t>
      </w:r>
    </w:p>
    <w:p>
      <w:pPr>
        <w:bidi/>
        <w:spacing w:after="60" w:before="0"/>
      </w:pPr>
    </w:p>
    <w:p>
      <w:pPr>
        <w:pStyle w:val="Heading2"/>
        <w:bidi/>
      </w:pPr>
      <w:bookmarkStart w:name="_sec13" w:id="13"/>
      <w:r>
        <w:rPr>
          <w:rFonts w:ascii="Arial" w:cs="Arial" w:eastAsia="Arial" w:hAnsi="Arial"/>
          <w:b/>
          <w:bCs/>
          <w:color w:val="2B5C8A"/>
          <w:sz w:val="26"/>
          <w:szCs w:val="26"/>
          <w:rtl/>
        </w:rPr>
        <w:t xml:space="preserve">7.2 خطوات الترقية </w:t>
      </w:r>
      <w:r>
        <w:rPr>
          <w:rFonts w:ascii="Arial" w:cs="Arial" w:eastAsia="Arial" w:hAnsi="Arial"/>
          <w:color w:val="2E9E44"/>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نسخة كاملة وفحصها</w:t>
      </w:r>
      <w:r>
        <w:rPr>
          <w:rFonts w:ascii="Arial" w:cs="Arial" w:eastAsia="Arial" w:hAnsi="Arial"/>
          <w:b w:val="false"/>
          <w:bCs w:val="false"/>
          <w:sz w:val="21"/>
          <w:szCs w:val="21"/>
          <w:rtl/>
        </w:rPr>
        <w:t xml:space="preserve"> (G8؛ DOC-S09).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 يرفض فتح النافذة لقاعدة فيها جداول بلا نسخة كاملة خلال </w:t>
      </w:r>
      <w:r>
        <w:rPr>
          <w:rFonts w:ascii="Courier New" w:cs="Courier New" w:eastAsia="Courier New" w:hAnsi="Courier New"/>
          <w:b w:val="false"/>
          <w:bCs w:val="false"/>
          <w:color w:val="1F2937"/>
          <w:sz w:val="18"/>
          <w:szCs w:val="18"/>
          <w:shd w:fill="F1F3F5" w:color="auto" w:val="clear"/>
          <w:rtl/>
        </w:rPr>
        <w:t xml:space="preserve">‎BANKFAS_BACKUP_MAX_AGE_HOURS‎</w:t>
      </w:r>
      <w:r>
        <w:rPr>
          <w:rFonts w:ascii="Arial" w:cs="Arial" w:eastAsia="Arial" w:hAnsi="Arial"/>
          <w:b w:val="false"/>
          <w:bCs w:val="false"/>
          <w:sz w:val="21"/>
          <w:szCs w:val="21"/>
          <w:rtl/>
        </w:rPr>
        <w:t xml:space="preserve"> (افتراضيًا 24 ساعة، 50153).</w:t>
      </w:r>
    </w:p>
    <w:p>
      <w:pPr>
        <w:pStyle w:val="ListParagraph"/>
        <w:numPr>
          <w:ilvl w:val="0"/>
          <w:numId w:val="4"/>
        </w:numPr>
        <w:bidi/>
        <w:spacing w:after="70" w:before="0" w:line="300"/>
      </w:pPr>
      <w:r>
        <w:rPr>
          <w:rFonts w:ascii="Arial" w:cs="Arial" w:eastAsia="Arial" w:hAnsi="Arial"/>
          <w:b/>
          <w:bCs/>
          <w:sz w:val="21"/>
          <w:szCs w:val="21"/>
          <w:rtl/>
        </w:rPr>
        <w:t xml:space="preserve">إيقاف التطبيق ومعالج المهام ولوحة المشغّل.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يرفض إن بقيت جلسة لحساب خدمة (50152)، ويرفض إن لم يكن تدقيق الخادم يعمل (50151).</w:t>
      </w:r>
    </w:p>
    <w:p>
      <w:pPr>
        <w:pStyle w:val="ListParagraph"/>
        <w:numPr>
          <w:ilvl w:val="0"/>
          <w:numId w:val="4"/>
        </w:numPr>
        <w:bidi/>
        <w:spacing w:after="70" w:before="0" w:line="300"/>
      </w:pPr>
      <w:r>
        <w:rPr>
          <w:rFonts w:ascii="Arial" w:cs="Arial" w:eastAsia="Arial" w:hAnsi="Arial"/>
          <w:b/>
          <w:bCs/>
          <w:sz w:val="21"/>
          <w:szCs w:val="21"/>
          <w:rtl/>
        </w:rPr>
        <w:t xml:space="preserve">فتح النافذة</w:t>
      </w:r>
      <w:r>
        <w:rPr>
          <w:rFonts w:ascii="Arial" w:cs="Arial" w:eastAsia="Arial" w:hAnsi="Arial"/>
          <w:b w:val="false"/>
          <w:bCs w:val="false"/>
          <w:sz w:val="21"/>
          <w:szCs w:val="21"/>
          <w:rtl/>
        </w:rPr>
        <w:t xml:space="preserve"> بمرجع التغيير </w:t>
      </w:r>
      <w:r>
        <w:rPr>
          <w:rFonts w:ascii="Courier New" w:cs="Courier New" w:eastAsia="Courier New" w:hAnsi="Courier New"/>
          <w:b w:val="false"/>
          <w:bCs w:val="false"/>
          <w:color w:val="1F2937"/>
          <w:sz w:val="18"/>
          <w:szCs w:val="18"/>
          <w:shd w:fill="F1F3F5" w:color="auto" w:val="clear"/>
          <w:rtl/>
        </w:rPr>
        <w:t xml:space="preserve">‎BANKFAS_CHANGE_REF‎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bCs/>
          <w:color w:val="1F2937"/>
          <w:sz w:val="18"/>
          <w:szCs w:val="18"/>
          <w:shd w:fill="F1F3F5" w:color="auto" w:val="clear"/>
          <w:rtl/>
        </w:rPr>
        <w:t xml:space="preserve">‎migrate.sh status‎</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السجل، والسكربتات المعلّقة، والبصمة. يخرج برمز 1 إن ذكر مشكلة.</w:t>
      </w:r>
    </w:p>
    <w:p>
      <w:pPr>
        <w:pStyle w:val="ListParagraph"/>
        <w:numPr>
          <w:ilvl w:val="0"/>
          <w:numId w:val="4"/>
        </w:numPr>
        <w:bidi/>
        <w:spacing w:after="70" w:before="0" w:line="300"/>
      </w:pPr>
      <w:r>
        <w:rPr>
          <w:rFonts w:ascii="Courier New" w:cs="Courier New" w:eastAsia="Courier New" w:hAnsi="Courier New"/>
          <w:b/>
          <w:bCs/>
          <w:color w:val="1F2937"/>
          <w:sz w:val="18"/>
          <w:szCs w:val="18"/>
          <w:shd w:fill="F1F3F5" w:color="auto" w:val="clear"/>
          <w:rtl/>
        </w:rPr>
        <w:t xml:space="preserve">‎migrate.sh apply‎</w:t>
      </w:r>
      <w:r>
        <w:rPr>
          <w:rFonts w:ascii="Arial" w:cs="Arial" w:eastAsia="Arial" w:hAnsi="Arial"/>
          <w:b w:val="false"/>
          <w:bCs w:val="false"/>
          <w:sz w:val="21"/>
          <w:szCs w:val="21"/>
          <w:rtl/>
        </w:rPr>
        <w:t xml:space="preserve">: بوابة الخادم أولًا (لا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ولا صلاحية على الخادم 50140، وسجل الإصدارات 50143، و</w:t>
      </w:r>
      <w:r>
        <w:rPr>
          <w:rFonts w:ascii="Courier New" w:cs="Courier New" w:eastAsia="Courier New" w:hAnsi="Courier New"/>
          <w:b w:val="false"/>
          <w:bCs w:val="false"/>
          <w:color w:val="1F2937"/>
          <w:sz w:val="18"/>
          <w:szCs w:val="18"/>
          <w:shd w:fill="F1F3F5" w:color="auto" w:val="clear"/>
          <w:rtl/>
        </w:rPr>
        <w:t xml:space="preserve">‎nested triggers‎</w:t>
      </w:r>
      <w:r>
        <w:rPr>
          <w:rFonts w:ascii="Arial" w:cs="Arial" w:eastAsia="Arial" w:hAnsi="Arial"/>
          <w:b w:val="false"/>
          <w:bCs w:val="false"/>
          <w:sz w:val="21"/>
          <w:szCs w:val="21"/>
          <w:rtl/>
        </w:rPr>
        <w:t xml:space="preserve"> مفعّل 50150؛ </w:t>
      </w:r>
      <w:r>
        <w:rPr>
          <w:rFonts w:ascii="Courier New" w:cs="Courier New" w:eastAsia="Courier New" w:hAnsi="Courier New"/>
          <w:b w:val="false"/>
          <w:bCs w:val="false"/>
          <w:color w:val="1F2937"/>
          <w:sz w:val="18"/>
          <w:szCs w:val="18"/>
          <w:shd w:fill="F1F3F5" w:color="auto" w:val="clear"/>
          <w:rtl/>
        </w:rPr>
        <w:t xml:space="preserve">‎db/ops/server_gate.sql‎</w:t>
      </w:r>
      <w:r>
        <w:rPr>
          <w:rFonts w:ascii="Arial" w:cs="Arial" w:eastAsia="Arial" w:hAnsi="Arial"/>
          <w:b w:val="false"/>
          <w:bCs w:val="false"/>
          <w:sz w:val="21"/>
          <w:szCs w:val="21"/>
          <w:rtl/>
        </w:rPr>
        <w:t xml:space="preserve">)، ثم كل سكربت مرقّم في معاملة مع صف سجله، وتُعاد مطابقة البصمة داخل المعاملة، ثم الملفات المتكررة. يرفض سكربتًا فيه سطر ينهي المعاملة أو يفتح أخرى أو أمر sqlcmd (D5). ويُسجَّل مرجع التغيير في كل صف.</w:t>
      </w:r>
    </w:p>
    <w:p>
      <w:pPr>
        <w:pStyle w:val="ListParagraph"/>
        <w:numPr>
          <w:ilvl w:val="0"/>
          <w:numId w:val="4"/>
        </w:numPr>
        <w:bidi/>
        <w:spacing w:after="70" w:before="0" w:line="300"/>
      </w:pPr>
      <w:r>
        <w:rPr>
          <w:rFonts w:ascii="Arial" w:cs="Arial" w:eastAsia="Arial" w:hAnsi="Arial"/>
          <w:b/>
          <w:bCs/>
          <w:sz w:val="21"/>
          <w:szCs w:val="21"/>
          <w:rtl/>
        </w:rPr>
        <w:t xml:space="preserve">فحوص §8.2</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ثم </w:t>
      </w:r>
      <w:r>
        <w:rPr>
          <w:rFonts w:ascii="Arial" w:cs="Arial" w:eastAsia="Arial" w:hAnsi="Arial"/>
          <w:b/>
          <w:bCs/>
          <w:sz w:val="21"/>
          <w:szCs w:val="21"/>
          <w:rtl/>
        </w:rPr>
        <w:t xml:space="preserve">إغلاق النافذة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وتشغيل التطبيق وفحص الدخان.</w:t>
      </w:r>
    </w:p>
    <w:p>
      <w:pPr>
        <w:pStyle w:val="ListParagraph"/>
        <w:numPr>
          <w:ilvl w:val="0"/>
          <w:numId w:val="4"/>
        </w:numPr>
        <w:bidi/>
        <w:spacing w:after="70" w:before="0" w:line="300"/>
      </w:pPr>
      <w:r>
        <w:rPr>
          <w:rFonts w:ascii="Arial" w:cs="Arial" w:eastAsia="Arial" w:hAnsi="Arial"/>
          <w:b/>
          <w:bCs/>
          <w:sz w:val="21"/>
          <w:szCs w:val="21"/>
          <w:rtl/>
        </w:rPr>
        <w:t xml:space="preserve">عند الفشل:</w:t>
      </w:r>
      <w:r>
        <w:rPr>
          <w:rFonts w:ascii="Arial" w:cs="Arial" w:eastAsia="Arial" w:hAnsi="Arial"/>
          <w:b w:val="false"/>
          <w:bCs w:val="false"/>
          <w:sz w:val="21"/>
          <w:szCs w:val="21"/>
          <w:rtl/>
        </w:rPr>
        <w:t xml:space="preserve"> السكربت الفاشل يتراجع مع صف سجله. وإن فشلت إعادة الملفات المتكررة بعد سكربت نجح، يعيدها </w:t>
      </w:r>
      <w:r>
        <w:rPr>
          <w:rFonts w:ascii="Courier New" w:cs="Courier New" w:eastAsia="Courier New" w:hAnsi="Courier New"/>
          <w:b w:val="false"/>
          <w:bCs w:val="false"/>
          <w:color w:val="1F2937"/>
          <w:sz w:val="18"/>
          <w:szCs w:val="18"/>
          <w:shd w:fill="F1F3F5" w:color="auto" w:val="clear"/>
          <w:rtl/>
        </w:rPr>
        <w:t xml:space="preserve">‎apply‎</w:t>
      </w:r>
      <w:r>
        <w:rPr>
          <w:rFonts w:ascii="Arial" w:cs="Arial" w:eastAsia="Arial" w:hAnsi="Arial"/>
          <w:b w:val="false"/>
          <w:bCs w:val="false"/>
          <w:sz w:val="21"/>
          <w:szCs w:val="21"/>
          <w:rtl/>
        </w:rPr>
        <w:t xml:space="preserve"> التالي تلقائيًا (D4). وإن تعذّر الإصلاح، فالتراجع باستعادة نسخة الخطوة 1 (§9)، ثم </w:t>
      </w:r>
      <w:r>
        <w:rPr>
          <w:rFonts w:ascii="Courier New" w:cs="Courier New" w:eastAsia="Courier New" w:hAnsi="Courier New"/>
          <w:b w:val="false"/>
          <w:bCs w:val="false"/>
          <w:color w:val="1F2937"/>
          <w:sz w:val="18"/>
          <w:szCs w:val="18"/>
          <w:shd w:fill="F1F3F5" w:color="auto" w:val="clear"/>
          <w:rtl/>
        </w:rPr>
        <w:t xml:space="preserve">‎audit_anchor.sh restored‎</w:t>
      </w:r>
      <w:r>
        <w:rPr>
          <w:rFonts w:ascii="Arial" w:cs="Arial" w:eastAsia="Arial" w:hAnsi="Arial"/>
          <w:b w:val="false"/>
          <w:bCs w:val="false"/>
          <w:sz w:val="21"/>
          <w:szCs w:val="21"/>
          <w:rtl/>
        </w:rPr>
        <w:t xml:space="preserve"> لتسجيل رؤوس سلاسل التدقيق المستعادة (DOC-S09، ADR 0033).</w:t>
      </w:r>
    </w:p>
    <w:p>
      <w:pPr>
        <w:bidi/>
        <w:spacing w:after="60" w:before="0"/>
      </w:pPr>
    </w:p>
    <w:p>
      <w:pPr>
        <w:bidi/>
        <w:spacing w:after="110" w:before="0" w:line="312"/>
      </w:pPr>
      <w:r>
        <w:rPr>
          <w:rFonts w:ascii="Arial" w:cs="Arial" w:eastAsia="Arial" w:hAnsi="Arial"/>
          <w:b w:val="false"/>
          <w:bCs w:val="false"/>
          <w:sz w:val="21"/>
          <w:szCs w:val="21"/>
          <w:rtl/>
        </w:rPr>
        <w:t xml:space="preserve">القواعد الباقية:</w:t>
      </w:r>
    </w:p>
    <w:p>
      <w:pPr>
        <w:pStyle w:val="ListParagraph"/>
        <w:numPr>
          <w:ilvl w:val="0"/>
          <w:numId w:val="2"/>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الملفات المتكررة تُعاد كلها عبر </w:t>
      </w:r>
      <w:r>
        <w:rPr>
          <w:rFonts w:ascii="Courier New" w:cs="Courier New" w:eastAsia="Courier New" w:hAnsi="Courier New"/>
          <w:b w:val="false"/>
          <w:bCs w:val="false"/>
          <w:color w:val="1F2937"/>
          <w:sz w:val="18"/>
          <w:szCs w:val="18"/>
          <w:shd w:fill="F1F3F5" w:color="auto" w:val="clear"/>
          <w:rtl/>
        </w:rPr>
        <w:t xml:space="preserve">‎migrate.sh‎</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إصلاح عاجل لإجراء:</w:t>
      </w:r>
      <w:r>
        <w:rPr>
          <w:rFonts w:ascii="Arial" w:cs="Arial" w:eastAsia="Arial" w:hAnsi="Arial"/>
          <w:b w:val="false"/>
          <w:bCs w:val="false"/>
          <w:sz w:val="21"/>
          <w:szCs w:val="21"/>
          <w:rtl/>
        </w:rPr>
        <w:t xml:space="preserve"> سكربت مرقّم جديد أو تعديل ملف متكرر، يمر بـ CI، ويُنفَّذ بالخطوات أعلاه (DQ-S11-8).</w:t>
      </w:r>
    </w:p>
    <w:p>
      <w:pPr>
        <w:pStyle w:val="ListParagraph"/>
        <w:numPr>
          <w:ilvl w:val="0"/>
          <w:numId w:val="2"/>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الفحوص</w:t>
      </w:r>
      <w:bookmarkEnd w:id="14"/>
    </w:p>
    <w:p>
      <w:pPr>
        <w:pStyle w:val="Heading2"/>
        <w:bidi/>
      </w:pPr>
      <w:bookmarkStart w:name="_sec15" w:id="15"/>
      <w:r>
        <w:rPr>
          <w:rFonts w:ascii="Arial" w:cs="Arial" w:eastAsia="Arial" w:hAnsi="Arial"/>
          <w:b/>
          <w:bCs/>
          <w:color w:val="2B5C8A"/>
          <w:sz w:val="26"/>
          <w:szCs w:val="26"/>
          <w:rtl/>
        </w:rPr>
        <w:t xml:space="preserve">8.1 قبل النشر</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8.2 بعد النشر</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2"/>
        <w:bidi/>
      </w:pPr>
      <w:bookmarkStart w:name="_sec17" w:id="17"/>
      <w:r>
        <w:rPr>
          <w:rFonts w:ascii="Arial" w:cs="Arial" w:eastAsia="Arial" w:hAnsi="Arial"/>
          <w:b/>
          <w:bCs/>
          <w:color w:val="2B5C8A"/>
          <w:sz w:val="26"/>
          <w:szCs w:val="26"/>
          <w:rtl/>
        </w:rPr>
        <w:t xml:space="preserve">8.3 اختبارات القاعدة: أين تُشغَّل</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1"/>
        <w:bidi/>
      </w:pPr>
      <w:bookmarkStart w:name="_sec18" w:id="18"/>
      <w:r>
        <w:rPr>
          <w:rFonts w:ascii="Arial" w:cs="Arial" w:eastAsia="Arial" w:hAnsi="Arial"/>
          <w:b/>
          <w:bCs/>
          <w:color w:val="1F3A5F"/>
          <w:sz w:val="32"/>
          <w:szCs w:val="32"/>
          <w:rtl/>
        </w:rPr>
        <w:t xml:space="preserve">9. التراجع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1"/>
        <w:bidi/>
      </w:pPr>
      <w:bookmarkStart w:name="_sec19" w:id="19"/>
      <w:r>
        <w:rPr>
          <w:rFonts w:ascii="Arial" w:cs="Arial" w:eastAsia="Arial" w:hAnsi="Arial"/>
          <w:b/>
          <w:bCs/>
          <w:color w:val="1F3A5F"/>
          <w:sz w:val="32"/>
          <w:szCs w:val="32"/>
          <w:rtl/>
        </w:rPr>
        <w:t xml:space="preserve">10. النافذة والتوقيع</w:t>
      </w:r>
      <w:bookmarkEnd w:id="19"/>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وتنبيهات التدقيق تعدّ النافذة منتهية بعد 4 ساعات من فتحها إن لم يُعلَن إغلاقها (db/ops/server_audit_alerts.sql)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الإصلاح العاجل)</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1"/>
        <w:bidi/>
      </w:pPr>
      <w:bookmarkStart w:name="_sec20" w:id="20"/>
      <w:r>
        <w:rPr>
          <w:rFonts w:ascii="Arial" w:cs="Arial" w:eastAsia="Arial" w:hAnsi="Arial"/>
          <w:b/>
          <w:bCs/>
          <w:color w:val="1F3A5F"/>
          <w:sz w:val="32"/>
          <w:szCs w:val="32"/>
          <w:rtl/>
        </w:rPr>
        <w:t xml:space="preserve">11. تعديلات مقترحة على الأدوات (لم تُنفَّذ)</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13. تعارضات وفجوات في المصادر</w:t>
      </w:r>
      <w:bookmarkEnd w:id="22"/>
    </w:p>
    <w:p>
      <w:pPr>
        <w:pStyle w:val="ListParagraph"/>
        <w:numPr>
          <w:ilvl w:val="0"/>
          <w:numId w:val="5"/>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5"/>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5"/>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5"/>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5"/>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DOC-S11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ac4c0ccd5f1563ce98dcf0d48d10750e9f6a5f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DOC-S11 — دليل نشر قاعدة البيانات على الخادم باستخدام deploy.sh</dc:title>
  <dc:creator>Claude</dc:creator>
  <dc:description>BankFas database design document</dc:description>
  <cp:lastModifiedBy>Un-named</cp:lastModifiedBy>
  <cp:revision>1</cp:revision>
  <dcterms:created xsi:type="dcterms:W3CDTF">2026-10-25T00:41:30.463Z</dcterms:created>
  <dcterms:modified xsi:type="dcterms:W3CDTF">2026-10-25T00:41:30.463Z</dcterms:modified>
</cp:coreProperties>
</file>

<file path=docProps/custom.xml><?xml version="1.0" encoding="utf-8"?>
<Properties xmlns="http://schemas.openxmlformats.org/officeDocument/2006/custom-properties" xmlns:vt="http://schemas.openxmlformats.org/officeDocument/2006/docPropsVTypes"/>
</file>