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w:t>
            </w:r>
            <w:r>
              <w:rPr>
                <w:rFonts w:ascii="Arial" w:cs="Arial" w:eastAsia="Arial" w:hAnsi="Arial"/>
                <w:b w:val="false"/>
                <w:bCs w:val="false"/>
                <w:sz w:val="18"/>
                <w:szCs w:val="18"/>
                <w:rtl/>
              </w:rPr>
              <w:t xml:space="preserve"> طلب المالك: (1) </w:t>
            </w:r>
            <w:r>
              <w:rPr>
                <w:rFonts w:ascii="Arial" w:cs="Arial" w:eastAsia="Arial" w:hAnsi="Arial"/>
                <w:b/>
                <w:bCs/>
                <w:sz w:val="18"/>
                <w:szCs w:val="18"/>
                <w:rtl/>
              </w:rPr>
              <w:t xml:space="preserve">الواجهة:</w:t>
            </w:r>
            <w:r>
              <w:rPr>
                <w:rFonts w:ascii="Arial" w:cs="Arial" w:eastAsia="Arial" w:hAnsi="Arial"/>
                <w:b w:val="false"/>
                <w:bCs w:val="false"/>
                <w:sz w:val="18"/>
                <w:szCs w:val="18"/>
                <w:rtl/>
              </w:rPr>
              <w:t xml:space="preserve"> لا تُنشر الشيفرة المصدرية المقروءة ولا خرائطها (source maps) في الإنتاج، وتُصغَّر، وتُطبع المستندات من الخادم ببصمة SHA-256 تكشف أي تعديل في المتصفح؛ مع ملاحظة أن ما يصل إلى المتصفح لا يمكن إخفاؤه كليًا، فالحماية الحقيقية أن الخادم وحده يقرر ويتحقق. (2) </w:t>
            </w:r>
            <w:r>
              <w:rPr>
                <w:rFonts w:ascii="Arial" w:cs="Arial" w:eastAsia="Arial" w:hAnsi="Arial"/>
                <w:b/>
                <w:bCs/>
                <w:sz w:val="18"/>
                <w:szCs w:val="18"/>
                <w:rtl/>
              </w:rPr>
              <w:t xml:space="preserve">حظر العناوين:</w:t>
            </w:r>
            <w:r>
              <w:rPr>
                <w:rFonts w:ascii="Arial" w:cs="Arial" w:eastAsia="Arial" w:hAnsi="Arial"/>
                <w:b w:val="false"/>
                <w:bCs w:val="false"/>
                <w:sz w:val="18"/>
                <w:szCs w:val="18"/>
                <w:rtl/>
              </w:rPr>
              <w:t xml:space="preserve"> حظر عنوان IP لمحاولات الاختراق والإغراق (ومنها ping)، بتحديد المعدّل في التطبيق والجدار الناري وFail2ban، دون حظر عناوين الوكيل العكسي أو CDN. (3)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مع journald دائم، وسجلات وصول Caddy بصيغة JSON، وتدوير سجلات Docker، وauditd، وFail2ban لـ SSH، وAIDE، ومراقبة المنافذ والموارد، وتجميع مركزي عبر Wazuh أو Loki/Grafana، وتنبيهات لـ SSH وUFW وCaddy وDocker، ونسخة سجلات خارجية غير قابلة للتعديل. (4) </w:t>
            </w:r>
            <w:r>
              <w:rPr>
                <w:rFonts w:ascii="Arial" w:cs="Arial" w:eastAsia="Arial" w:hAnsi="Arial"/>
                <w:b/>
                <w:bCs/>
                <w:sz w:val="18"/>
                <w:szCs w:val="18"/>
                <w:rtl/>
              </w:rPr>
              <w:t xml:space="preserve">في المنصة:</w:t>
            </w:r>
            <w:r>
              <w:rPr>
                <w:rFonts w:ascii="Arial" w:cs="Arial" w:eastAsia="Arial" w:hAnsi="Arial"/>
                <w:b w:val="false"/>
                <w:bCs w:val="false"/>
                <w:sz w:val="18"/>
                <w:szCs w:val="18"/>
                <w:rtl/>
              </w:rPr>
              <w:t xml:space="preserve"> لوحة أحداث أمنية في لوحة المشغّل، وقناة إشعار، وسجل حوادث. (5) </w:t>
            </w:r>
            <w:r>
              <w:rPr>
                <w:rFonts w:ascii="Arial" w:cs="Arial" w:eastAsia="Arial" w:hAnsi="Arial"/>
                <w:b/>
                <w:bCs/>
                <w:sz w:val="18"/>
                <w:szCs w:val="18"/>
                <w:rtl/>
              </w:rPr>
              <w:t xml:space="preserve">خطة الاستجابة للحوادث</w:t>
            </w:r>
            <w:r>
              <w:rPr>
                <w:rFonts w:ascii="Arial" w:cs="Arial" w:eastAsia="Arial" w:hAnsi="Arial"/>
                <w:b w:val="false"/>
                <w:bCs w:val="false"/>
                <w:sz w:val="18"/>
                <w:szCs w:val="18"/>
                <w:rtl/>
              </w:rPr>
              <w:t xml:space="preserve"> (12 خطوة): لا حذف للسجلات ولا إعادة تشغيل فورية؛ حفظ نسخة مختومة بالوقت؛ عزل الحساب أو العنوان إن كان آمنًا؛ عدم حظر الوكيل أو CDN خطأً؛ فحص العمليات والمنافذ والحاويات الجديدة؛ فحص authorized_keys والمستخدمين الجدد؛ إيقاف الأسرار المتأثرة وتدويرها؛ لقطة قرص قبل التغييرات الكبيرة؛ فحص الحاويات والصور وملفات Compose؛ إعادة البناء من مصدر موثوق؛ إعادة اختبار المصادقة والصلاحيات؛ توثيق الحادثة وسببها الجذري والإجراءات التصحيحية. تُكتب عند الاستئناف وثيقة تشغيل أمني وخطة استجابة، وتُحدَّث وثائق الأمن (DOC-S)، ويُبنى ما يخص التطبيق (تحديد المعدّل والحظر ولوحة الأحداث وسجل الحوادث)</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ويُبنى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2026-10-23T23:12:35.107Z</dcterms:created>
  <dcterms:modified xsi:type="dcterms:W3CDTF">2026-10-23T23:12:35.112Z</dcterms:modified>
</cp:coreProperties>
</file>

<file path=docProps/custom.xml><?xml version="1.0" encoding="utf-8"?>
<Properties xmlns="http://schemas.openxmlformats.org/officeDocument/2006/custom-properties" xmlns:vt="http://schemas.openxmlformats.org/officeDocument/2006/docPropsVTypes"/>
</file>