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247 tables · 20 schemas · 912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247 tables in 20 schemas; 912 foreign keys; 650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247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52</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90 diagrams cover 247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34</w:t>
            </w:r>
          </w:p>
        </w:tc>
        <w:tc>
          <w:tcPr>
            <w:tcW w:type="dxa" w:w="2268"/>
          </w:tcPr>
          <w:p>
            <w:pPr>
              <w:spacing w:after="0" w:before="0"/>
            </w:pPr>
            <w:r/>
            <w:r>
              <w:rPr>
                <w:rFonts w:ascii="Arial" w:hAnsi="Arial"/>
                <w:b w:val="0"/>
                <w:sz w:val="17"/>
              </w:rPr>
              <w:t>89</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18)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18)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173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17328"/>
                    </a:xfrm>
                    <a:prstGeom prst="rect"/>
                  </pic:spPr>
                </pic:pic>
              </a:graphicData>
            </a:graphic>
          </wp:inline>
        </w:drawing>
      </w:r>
    </w:p>
    <w:p>
      <w:pPr>
        <w:spacing w:after="120"/>
        <w:jc w:val="center"/>
      </w:pPr>
      <w:r>
        <w:rPr>
          <w:rFonts w:ascii="Arial" w:hAnsi="Arial"/>
          <w:b w:val="0"/>
          <w:i/>
          <w:color w:val="6B7280"/>
          <w:sz w:val="16"/>
        </w:rPr>
        <w:t>Figure 52  Financial statements and balances (part 5 of 18)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IndustryId</w:t>
            </w:r>
          </w:p>
        </w:tc>
        <w:tc>
          <w:tcPr>
            <w:tcW w:type="dxa" w:w="2721"/>
            <w:shd w:val="clear" w:color="auto" w:fill="E8EEF6"/>
          </w:tcPr>
          <w:p>
            <w:pPr>
              <w:spacing w:after="0" w:before="0"/>
            </w:pPr>
            <w:r/>
            <w:r>
              <w:rPr>
                <w:rFonts w:ascii="Arial" w:hAnsi="Arial"/>
                <w:b w:val="0"/>
                <w:sz w:val="15"/>
              </w:rPr>
              <w:t>ref.Industry</w:t>
            </w:r>
          </w:p>
        </w:tc>
        <w:tc>
          <w:tcPr>
            <w:tcW w:type="dxa" w:w="2948"/>
            <w:shd w:val="clear" w:color="auto" w:fill="E8EEF6"/>
          </w:tcPr>
          <w:p>
            <w:pPr>
              <w:spacing w:after="0" w:before="0"/>
            </w:pPr>
            <w:r/>
            <w:r>
              <w:rPr>
                <w:rFonts w:ascii="Arial" w:hAnsi="Arial"/>
                <w:b w:val="0"/>
                <w:sz w:val="15"/>
              </w:rPr>
              <w:t>IndustryId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MarketCountryId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AnchorGradeId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CountryCeilingGradeId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3020" cy="2115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3020" cy="2115207"/>
                    </a:xfrm>
                    <a:prstGeom prst="rect"/>
                  </pic:spPr>
                </pic:pic>
              </a:graphicData>
            </a:graphic>
          </wp:inline>
        </w:drawing>
      </w:r>
    </w:p>
    <w:p>
      <w:pPr>
        <w:spacing w:after="120"/>
        <w:jc w:val="center"/>
      </w:pPr>
      <w:r>
        <w:rPr>
          <w:rFonts w:ascii="Arial" w:hAnsi="Arial"/>
          <w:b w:val="0"/>
          <w:i/>
          <w:color w:val="6B7280"/>
          <w:sz w:val="16"/>
        </w:rPr>
        <w:t>Figure 53  Financial statements and balances (part 6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68440" cy="6651585"/>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68440" cy="6651585"/>
                    </a:xfrm>
                    <a:prstGeom prst="rect"/>
                  </pic:spPr>
                </pic:pic>
              </a:graphicData>
            </a:graphic>
          </wp:inline>
        </w:drawing>
      </w:r>
    </w:p>
    <w:p>
      <w:pPr>
        <w:spacing w:after="120"/>
        <w:jc w:val="center"/>
      </w:pPr>
      <w:r>
        <w:rPr>
          <w:rFonts w:ascii="Arial" w:hAnsi="Arial"/>
          <w:b w:val="0"/>
          <w:i/>
          <w:color w:val="6B7280"/>
          <w:sz w:val="16"/>
        </w:rPr>
        <w:t>Figure 54  Financial statements and balances (part 7 of 18)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fin.CreditAssessmentFacility</w:t>
            </w:r>
          </w:p>
        </w:tc>
        <w:tc>
          <w:tcPr>
            <w:tcW w:type="dxa" w:w="6690"/>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tcPr>
          <w:p>
            <w:pPr>
              <w:spacing w:after="0" w:before="0"/>
            </w:pPr>
            <w:r/>
            <w:r>
              <w:rPr>
                <w:rFonts w:ascii="Arial" w:hAnsi="Arial"/>
                <w:b w:val="0"/>
                <w:sz w:val="15"/>
              </w:rPr>
              <w:t>CreditAssessmentFacilityId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fin.CreditAssessmentFactor</w:t>
            </w:r>
          </w:p>
        </w:tc>
        <w:tc>
          <w:tcPr>
            <w:tcW w:type="dxa" w:w="6690"/>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shd w:val="clear" w:color="auto" w:fill="E8EEF6"/>
          </w:tcPr>
          <w:p>
            <w:pPr>
              <w:spacing w:after="0" w:before="0"/>
            </w:pPr>
            <w:r/>
            <w:r>
              <w:rPr>
                <w:rFonts w:ascii="Arial" w:hAnsi="Arial"/>
                <w:b w:val="0"/>
                <w:sz w:val="15"/>
              </w:rPr>
              <w:t>CreditAssessmentFactorId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3590843"/>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512559" cy="3590843"/>
                    </a:xfrm>
                    <a:prstGeom prst="rect"/>
                  </pic:spPr>
                </pic:pic>
              </a:graphicData>
            </a:graphic>
          </wp:inline>
        </w:drawing>
      </w:r>
    </w:p>
    <w:p>
      <w:pPr>
        <w:spacing w:after="120"/>
        <w:jc w:val="center"/>
      </w:pPr>
      <w:r>
        <w:rPr>
          <w:rFonts w:ascii="Arial" w:hAnsi="Arial"/>
          <w:b w:val="0"/>
          <w:i/>
          <w:color w:val="6B7280"/>
          <w:sz w:val="16"/>
        </w:rPr>
        <w:t>Figure 55  Financial statements and balances (part 8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fin.CreditAssessmentFinding</w:t>
            </w:r>
          </w:p>
        </w:tc>
        <w:tc>
          <w:tcPr>
            <w:tcW w:type="dxa" w:w="6690"/>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tcPr>
          <w:p>
            <w:pPr>
              <w:spacing w:after="0" w:before="0"/>
            </w:pPr>
            <w:r/>
            <w:r>
              <w:rPr>
                <w:rFonts w:ascii="Arial" w:hAnsi="Arial"/>
                <w:b w:val="0"/>
                <w:sz w:val="15"/>
              </w:rPr>
              <w:t>CreditAssessmentFindingId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fin.CreditAssessmentGuarantor</w:t>
            </w:r>
          </w:p>
        </w:tc>
        <w:tc>
          <w:tcPr>
            <w:tcW w:type="dxa" w:w="6690"/>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shd w:val="clear" w:color="auto" w:fill="E8EEF6"/>
          </w:tcPr>
          <w:p>
            <w:pPr>
              <w:spacing w:after="0" w:before="0"/>
            </w:pPr>
            <w:r/>
            <w:r>
              <w:rPr>
                <w:rFonts w:ascii="Arial" w:hAnsi="Arial"/>
                <w:b w:val="0"/>
                <w:sz w:val="15"/>
              </w:rPr>
              <w:t>CreditAssessmentGuarantorId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fin.CreditAssessmentFinding</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7614458"/>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355080" cy="7614458"/>
                    </a:xfrm>
                    <a:prstGeom prst="rect"/>
                  </pic:spPr>
                </pic:pic>
              </a:graphicData>
            </a:graphic>
          </wp:inline>
        </w:drawing>
      </w:r>
    </w:p>
    <w:p>
      <w:pPr>
        <w:spacing w:after="120"/>
        <w:jc w:val="center"/>
      </w:pPr>
      <w:r>
        <w:rPr>
          <w:rFonts w:ascii="Arial" w:hAnsi="Arial"/>
          <w:b w:val="0"/>
          <w:i/>
          <w:color w:val="6B7280"/>
          <w:sz w:val="16"/>
        </w:rPr>
        <w:t>Figure 56  Financial statements and balances (part 9 of 18)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w:t>
            </w:r>
          </w:p>
        </w:tc>
        <w:tc>
          <w:tcPr>
            <w:tcW w:type="dxa" w:w="6690"/>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shd w:val="clear" w:color="auto" w:fill="E8EEF6"/>
          </w:tcPr>
          <w:p>
            <w:pPr>
              <w:spacing w:after="0" w:before="0"/>
            </w:pPr>
            <w:r/>
            <w:r>
              <w:rPr>
                <w:rFonts w:ascii="Arial" w:hAnsi="Arial"/>
                <w:b w:val="0"/>
                <w:sz w:val="15"/>
              </w:rPr>
              <w:t>CreditAssessmentPlanId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043997"/>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79540" cy="4043997"/>
                    </a:xfrm>
                    <a:prstGeom prst="rect"/>
                  </pic:spPr>
                </pic:pic>
              </a:graphicData>
            </a:graphic>
          </wp:inline>
        </w:drawing>
      </w:r>
    </w:p>
    <w:p>
      <w:pPr>
        <w:spacing w:after="120"/>
        <w:jc w:val="center"/>
      </w:pPr>
      <w:r>
        <w:rPr>
          <w:rFonts w:ascii="Arial" w:hAnsi="Arial"/>
          <w:b w:val="0"/>
          <w:i/>
          <w:color w:val="6B7280"/>
          <w:sz w:val="16"/>
        </w:rPr>
        <w:t>Figure 57  Financial statements and balances (part 10 of 18)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7042896"/>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56680" cy="7042896"/>
                    </a:xfrm>
                    <a:prstGeom prst="rect"/>
                  </pic:spPr>
                </pic:pic>
              </a:graphicData>
            </a:graphic>
          </wp:inline>
        </w:drawing>
      </w:r>
    </w:p>
    <w:p>
      <w:pPr>
        <w:spacing w:after="120"/>
        <w:jc w:val="center"/>
      </w:pPr>
      <w:r>
        <w:rPr>
          <w:rFonts w:ascii="Arial" w:hAnsi="Arial"/>
          <w:b w:val="0"/>
          <w:i/>
          <w:color w:val="6B7280"/>
          <w:sz w:val="16"/>
        </w:rPr>
        <w:t>Figure 58  Financial statements and balances (part 11 of 18)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fin.CreditRemedyStep</w:t>
            </w:r>
          </w:p>
        </w:tc>
        <w:tc>
          <w:tcPr>
            <w:tcW w:type="dxa" w:w="6690"/>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shd w:val="clear" w:color="auto" w:fill="E8EEF6"/>
          </w:tcPr>
          <w:p>
            <w:pPr>
              <w:spacing w:after="0" w:before="0"/>
            </w:pPr>
            <w:r/>
            <w:r>
              <w:rPr>
                <w:rFonts w:ascii="Arial" w:hAnsi="Arial"/>
                <w:b w:val="0"/>
                <w:sz w:val="15"/>
              </w:rPr>
              <w:t>CreditRemedyStepId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fin.CreditRemedyTrigger</w:t>
            </w:r>
          </w:p>
        </w:tc>
        <w:tc>
          <w:tcPr>
            <w:tcW w:type="dxa" w:w="6690"/>
          </w:tcPr>
          <w:p>
            <w:pPr>
              <w:spacing w:after="0" w:before="0"/>
            </w:pPr>
            <w:r/>
            <w:r>
              <w:rPr>
                <w:rFonts w:ascii="Arial" w:hAnsi="Arial"/>
                <w:b w:val="0"/>
                <w:sz w:val="15"/>
              </w:rPr>
              <w:t>A finding a remedy answers: a metric or an adjustment code</w:t>
            </w:r>
          </w:p>
        </w:tc>
        <w:tc>
          <w:tcPr>
            <w:tcW w:type="dxa" w:w="2948"/>
          </w:tcPr>
          <w:p>
            <w:pPr>
              <w:spacing w:after="0" w:before="0"/>
            </w:pPr>
            <w:r/>
            <w:r>
              <w:rPr>
                <w:rFonts w:ascii="Arial" w:hAnsi="Arial"/>
                <w:b w:val="0"/>
                <w:sz w:val="15"/>
              </w:rPr>
              <w:t>CreditRemedyTriggerId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fin.CreditText</w:t>
            </w:r>
          </w:p>
        </w:tc>
        <w:tc>
          <w:tcPr>
            <w:tcW w:type="dxa" w:w="6690"/>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shd w:val="clear" w:color="auto" w:fill="E8EEF6"/>
          </w:tcPr>
          <w:p>
            <w:pPr>
              <w:spacing w:after="0" w:before="0"/>
            </w:pPr>
            <w:r/>
            <w:r>
              <w:rPr>
                <w:rFonts w:ascii="Arial" w:hAnsi="Arial"/>
                <w:b w:val="0"/>
                <w:sz w:val="15"/>
              </w:rPr>
              <w:t>CreditTextId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ProFormaGradeId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6652096"/>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015990" cy="6652096"/>
                    </a:xfrm>
                    <a:prstGeom prst="rect"/>
                  </pic:spPr>
                </pic:pic>
              </a:graphicData>
            </a:graphic>
          </wp:inline>
        </w:drawing>
      </w:r>
    </w:p>
    <w:p>
      <w:pPr>
        <w:spacing w:after="120"/>
        <w:jc w:val="center"/>
      </w:pPr>
      <w:r>
        <w:rPr>
          <w:rFonts w:ascii="Arial" w:hAnsi="Arial"/>
          <w:b w:val="0"/>
          <w:i/>
          <w:color w:val="6B7280"/>
          <w:sz w:val="16"/>
        </w:rPr>
        <w:t>Figure 59  Financial statements and balances (part 12 of 18)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07760" cy="4516623"/>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207760" cy="4516623"/>
                    </a:xfrm>
                    <a:prstGeom prst="rect"/>
                  </pic:spPr>
                </pic:pic>
              </a:graphicData>
            </a:graphic>
          </wp:inline>
        </w:drawing>
      </w:r>
    </w:p>
    <w:p>
      <w:pPr>
        <w:spacing w:after="120"/>
        <w:jc w:val="center"/>
      </w:pPr>
      <w:r>
        <w:rPr>
          <w:rFonts w:ascii="Arial" w:hAnsi="Arial"/>
          <w:b w:val="0"/>
          <w:i/>
          <w:color w:val="6B7280"/>
          <w:sz w:val="16"/>
        </w:rPr>
        <w:t>Figure 60  Financial statements and balances (part 13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w:t>
            </w:r>
          </w:p>
        </w:tc>
        <w:tc>
          <w:tcPr>
            <w:tcW w:type="dxa" w:w="6690"/>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shd w:val="clear" w:color="auto" w:fill="E8EEF6"/>
          </w:tcPr>
          <w:p>
            <w:pPr>
              <w:spacing w:after="0" w:before="0"/>
            </w:pPr>
            <w:r/>
            <w:r>
              <w:rPr>
                <w:rFonts w:ascii="Arial" w:hAnsi="Arial"/>
                <w:b w:val="0"/>
                <w:sz w:val="15"/>
              </w:rPr>
              <w:t>MacroScenarioId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fin.MacroScenarioCountry</w:t>
            </w:r>
          </w:p>
        </w:tc>
        <w:tc>
          <w:tcPr>
            <w:tcW w:type="dxa" w:w="6690"/>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tcPr>
          <w:p>
            <w:pPr>
              <w:spacing w:after="0" w:before="0"/>
            </w:pPr>
            <w:r/>
            <w:r>
              <w:rPr>
                <w:rFonts w:ascii="Arial" w:hAnsi="Arial"/>
                <w:b w:val="0"/>
                <w:sz w:val="15"/>
              </w:rPr>
              <w:t>MacroScenarioCountryId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fin.MacroScenarioIntensity</w:t>
            </w:r>
          </w:p>
        </w:tc>
        <w:tc>
          <w:tcPr>
            <w:tcW w:type="dxa" w:w="6690"/>
            <w:shd w:val="clear" w:color="auto" w:fill="E8EEF6"/>
          </w:tcPr>
          <w:p>
            <w:pPr>
              <w:spacing w:after="0" w:before="0"/>
            </w:pPr>
            <w:r/>
            <w:r>
              <w:rPr>
                <w:rFonts w:ascii="Arial" w:hAnsi="Arial"/>
                <w:b w:val="0"/>
                <w:sz w:val="15"/>
              </w:rPr>
              <w:t>The intensity 0 to 1 of a driver in a macro scenario (docs/35 section 14)</w:t>
            </w:r>
          </w:p>
        </w:tc>
        <w:tc>
          <w:tcPr>
            <w:tcW w:type="dxa" w:w="2948"/>
            <w:shd w:val="clear" w:color="auto" w:fill="E8EEF6"/>
          </w:tcPr>
          <w:p>
            <w:pPr>
              <w:spacing w:after="0" w:before="0"/>
            </w:pPr>
            <w:r/>
            <w:r>
              <w:rPr>
                <w:rFonts w:ascii="Arial" w:hAnsi="Arial"/>
                <w:b w:val="0"/>
                <w:sz w:val="15"/>
              </w:rPr>
              <w:t>MacroScenarioIntensityId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ShockDriverId</w:t>
            </w:r>
          </w:p>
        </w:tc>
        <w:tc>
          <w:tcPr>
            <w:tcW w:type="dxa" w:w="2721"/>
          </w:tcPr>
          <w:p>
            <w:pPr>
              <w:spacing w:after="0" w:before="0"/>
            </w:pPr>
            <w:r/>
            <w:r>
              <w:rPr>
                <w:rFonts w:ascii="Arial" w:hAnsi="Arial"/>
                <w:b w:val="0"/>
                <w:sz w:val="15"/>
              </w:rPr>
              <w:t>fin.ShockDriver</w:t>
            </w:r>
          </w:p>
        </w:tc>
        <w:tc>
          <w:tcPr>
            <w:tcW w:type="dxa" w:w="2948"/>
          </w:tcPr>
          <w:p>
            <w:pPr>
              <w:spacing w:after="0" w:before="0"/>
            </w:pPr>
            <w:r/>
            <w:r>
              <w:rPr>
                <w:rFonts w:ascii="Arial" w:hAnsi="Arial"/>
                <w:b w:val="0"/>
                <w:sz w:val="15"/>
              </w:rPr>
              <w:t>ShockDriverId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964420" cy="6742715"/>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9964420" cy="6742715"/>
                    </a:xfrm>
                    <a:prstGeom prst="rect"/>
                  </pic:spPr>
                </pic:pic>
              </a:graphicData>
            </a:graphic>
          </wp:inline>
        </w:drawing>
      </w:r>
    </w:p>
    <w:p>
      <w:pPr>
        <w:spacing w:after="120"/>
        <w:jc w:val="center"/>
      </w:pPr>
      <w:r>
        <w:rPr>
          <w:rFonts w:ascii="Arial" w:hAnsi="Arial"/>
          <w:b w:val="0"/>
          <w:i/>
          <w:color w:val="6B7280"/>
          <w:sz w:val="16"/>
        </w:rPr>
        <w:t>Figure 61  Financial statements and balances (part 14 of 18)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fin.MeasureFormula</w:t>
            </w:r>
          </w:p>
        </w:tc>
        <w:tc>
          <w:tcPr>
            <w:tcW w:type="dxa" w:w="6690"/>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tcPr>
          <w:p>
            <w:pPr>
              <w:spacing w:after="0" w:before="0"/>
            </w:pPr>
            <w:r/>
            <w:r>
              <w:rPr>
                <w:rFonts w:ascii="Arial" w:hAnsi="Arial"/>
                <w:b w:val="0"/>
                <w:sz w:val="15"/>
              </w:rPr>
              <w:t>MeasureFormulaId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w:t>
            </w:r>
          </w:p>
        </w:tc>
        <w:tc>
          <w:tcPr>
            <w:tcW w:type="dxa" w:w="6690"/>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shd w:val="clear" w:color="auto" w:fill="E8EEF6"/>
          </w:tcPr>
          <w:p>
            <w:pPr>
              <w:spacing w:after="0" w:before="0"/>
            </w:pPr>
            <w:r/>
            <w:r>
              <w:rPr>
                <w:rFonts w:ascii="Arial" w:hAnsi="Arial"/>
                <w:b w:val="0"/>
                <w:sz w:val="15"/>
              </w:rPr>
              <w:t>PresentationVersionId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fin.PresentationVersionStep</w:t>
            </w:r>
          </w:p>
        </w:tc>
        <w:tc>
          <w:tcPr>
            <w:tcW w:type="dxa" w:w="6690"/>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tcPr>
          <w:p>
            <w:pPr>
              <w:spacing w:after="0" w:before="0"/>
            </w:pPr>
            <w:r/>
            <w:r>
              <w:rPr>
                <w:rFonts w:ascii="Arial" w:hAnsi="Arial"/>
                <w:b w:val="0"/>
                <w:sz w:val="15"/>
              </w:rPr>
              <w:t>PresentationVersionStepId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fin.ProductCategory</w:t>
            </w:r>
          </w:p>
        </w:tc>
        <w:tc>
          <w:tcPr>
            <w:tcW w:type="dxa" w:w="6690"/>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shd w:val="clear" w:color="auto" w:fill="E8EEF6"/>
          </w:tcPr>
          <w:p>
            <w:pPr>
              <w:spacing w:after="0" w:before="0"/>
            </w:pPr>
            <w:r/>
            <w:r>
              <w:rPr>
                <w:rFonts w:ascii="Arial" w:hAnsi="Arial"/>
                <w:b w:val="0"/>
                <w:sz w:val="15"/>
              </w:rPr>
              <w:t>ProductCategoryId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84850" cy="5930302"/>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5784850" cy="5930302"/>
                    </a:xfrm>
                    <a:prstGeom prst="rect"/>
                  </pic:spPr>
                </pic:pic>
              </a:graphicData>
            </a:graphic>
          </wp:inline>
        </w:drawing>
      </w:r>
    </w:p>
    <w:p>
      <w:pPr>
        <w:spacing w:after="120"/>
        <w:jc w:val="center"/>
      </w:pPr>
      <w:r>
        <w:rPr>
          <w:rFonts w:ascii="Arial" w:hAnsi="Arial"/>
          <w:b w:val="0"/>
          <w:i/>
          <w:color w:val="6B7280"/>
          <w:sz w:val="16"/>
        </w:rPr>
        <w:t>Figure 62  Financial statements and balances (part 15 of 18)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fin.RatingGrade</w:t>
            </w:r>
          </w:p>
        </w:tc>
        <w:tc>
          <w:tcPr>
            <w:tcW w:type="dxa" w:w="6690"/>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tcPr>
          <w:p>
            <w:pPr>
              <w:spacing w:after="0" w:before="0"/>
            </w:pPr>
            <w:r/>
            <w:r>
              <w:rPr>
                <w:rFonts w:ascii="Arial" w:hAnsi="Arial"/>
                <w:b w:val="0"/>
                <w:sz w:val="15"/>
              </w:rPr>
              <w:t>RatingGradeId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fin.RevenueEstimate</w:t>
            </w:r>
          </w:p>
        </w:tc>
        <w:tc>
          <w:tcPr>
            <w:tcW w:type="dxa" w:w="6690"/>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shd w:val="clear" w:color="auto" w:fill="E8EEF6"/>
          </w:tcPr>
          <w:p>
            <w:pPr>
              <w:spacing w:after="0" w:before="0"/>
            </w:pPr>
            <w:r/>
            <w:r>
              <w:rPr>
                <w:rFonts w:ascii="Arial" w:hAnsi="Arial"/>
                <w:b w:val="0"/>
                <w:sz w:val="15"/>
              </w:rPr>
              <w:t>RevenueEstimateId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53760" cy="5342585"/>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5953760" cy="5342585"/>
                    </a:xfrm>
                    <a:prstGeom prst="rect"/>
                  </pic:spPr>
                </pic:pic>
              </a:graphicData>
            </a:graphic>
          </wp:inline>
        </w:drawing>
      </w:r>
    </w:p>
    <w:p>
      <w:pPr>
        <w:spacing w:after="120"/>
        <w:jc w:val="center"/>
      </w:pPr>
      <w:r>
        <w:rPr>
          <w:rFonts w:ascii="Arial" w:hAnsi="Arial"/>
          <w:b w:val="0"/>
          <w:i/>
          <w:color w:val="6B7280"/>
          <w:sz w:val="16"/>
        </w:rPr>
        <w:t>Figure 63  Financial statements and balances (part 16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23940" cy="5184354"/>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6123940" cy="5184354"/>
                    </a:xfrm>
                    <a:prstGeom prst="rect"/>
                  </pic:spPr>
                </pic:pic>
              </a:graphicData>
            </a:graphic>
          </wp:inline>
        </w:drawing>
      </w:r>
    </w:p>
    <w:p>
      <w:pPr>
        <w:spacing w:after="120"/>
        <w:jc w:val="center"/>
      </w:pPr>
      <w:r>
        <w:rPr>
          <w:rFonts w:ascii="Arial" w:hAnsi="Arial"/>
          <w:b w:val="0"/>
          <w:i/>
          <w:color w:val="6B7280"/>
          <w:sz w:val="16"/>
        </w:rPr>
        <w:t>Figure 64  Financial statements and balances (part 17 of 18)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fin.ShockDriver</w:t>
            </w:r>
          </w:p>
        </w:tc>
        <w:tc>
          <w:tcPr>
            <w:tcW w:type="dxa" w:w="6690"/>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shd w:val="clear" w:color="auto" w:fill="E8EEF6"/>
          </w:tcPr>
          <w:p>
            <w:pPr>
              <w:spacing w:after="0" w:before="0"/>
            </w:pPr>
            <w:r/>
            <w:r>
              <w:rPr>
                <w:rFonts w:ascii="Arial" w:hAnsi="Arial"/>
                <w:b w:val="0"/>
                <w:sz w:val="15"/>
              </w:rPr>
              <w:t>ShockDriverId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fin.StandardLine</w:t>
            </w:r>
          </w:p>
        </w:tc>
        <w:tc>
          <w:tcPr>
            <w:tcW w:type="dxa" w:w="6690"/>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tcPr>
          <w:p>
            <w:pPr>
              <w:spacing w:after="0" w:before="0"/>
            </w:pPr>
            <w:r/>
            <w:r>
              <w:rPr>
                <w:rFonts w:ascii="Arial" w:hAnsi="Arial"/>
                <w:b w:val="0"/>
                <w:sz w:val="15"/>
              </w:rPr>
              <w:t>StandardLineId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fin.StandardLineTotal</w:t>
            </w:r>
          </w:p>
        </w:tc>
        <w:tc>
          <w:tcPr>
            <w:tcW w:type="dxa" w:w="6690"/>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2948"/>
            <w:shd w:val="clear" w:color="auto" w:fill="E8EEF6"/>
          </w:tcPr>
          <w:p>
            <w:pPr>
              <w:spacing w:after="0" w:before="0"/>
            </w:pPr>
            <w:r/>
            <w:r>
              <w:rPr>
                <w:rFonts w:ascii="Arial" w:hAnsi="Arial"/>
                <w:b w:val="0"/>
                <w:sz w:val="15"/>
              </w:rPr>
              <w:t>StandardLineTotalId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84620" cy="5067149"/>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6484620" cy="5067149"/>
                    </a:xfrm>
                    <a:prstGeom prst="rect"/>
                  </pic:spPr>
                </pic:pic>
              </a:graphicData>
            </a:graphic>
          </wp:inline>
        </w:drawing>
      </w:r>
    </w:p>
    <w:p>
      <w:pPr>
        <w:spacing w:after="120"/>
        <w:jc w:val="center"/>
      </w:pPr>
      <w:r>
        <w:rPr>
          <w:rFonts w:ascii="Arial" w:hAnsi="Arial"/>
          <w:b w:val="0"/>
          <w:i/>
          <w:color w:val="6B7280"/>
          <w:sz w:val="16"/>
        </w:rPr>
        <w:t>Figure 65  Financial statements and balances (part 18 of 18)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fin.StrengtheningPlan</w:t>
            </w:r>
          </w:p>
        </w:tc>
        <w:tc>
          <w:tcPr>
            <w:tcW w:type="dxa" w:w="6690"/>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tcPr>
          <w:p>
            <w:pPr>
              <w:spacing w:after="0" w:before="0"/>
            </w:pPr>
            <w:r/>
            <w:r>
              <w:rPr>
                <w:rFonts w:ascii="Arial" w:hAnsi="Arial"/>
                <w:b w:val="0"/>
                <w:sz w:val="15"/>
              </w:rPr>
              <w:t>StrengtheningPlanId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fin.StrengtheningPlanMember</w:t>
            </w:r>
          </w:p>
        </w:tc>
        <w:tc>
          <w:tcPr>
            <w:tcW w:type="dxa" w:w="6690"/>
            <w:shd w:val="clear" w:color="auto" w:fill="E8EEF6"/>
          </w:tcPr>
          <w:p>
            <w:pPr>
              <w:spacing w:after="0" w:before="0"/>
            </w:pPr>
            <w:r/>
            <w:r>
              <w:rPr>
                <w:rFonts w:ascii="Arial" w:hAnsi="Arial"/>
                <w:b w:val="0"/>
                <w:sz w:val="15"/>
              </w:rPr>
              <w:t>A remedy of a package plan, in the order the plan applies it</w:t>
            </w:r>
          </w:p>
        </w:tc>
        <w:tc>
          <w:tcPr>
            <w:tcW w:type="dxa" w:w="2948"/>
            <w:shd w:val="clear" w:color="auto" w:fill="E8EEF6"/>
          </w:tcPr>
          <w:p>
            <w:pPr>
              <w:spacing w:after="0" w:before="0"/>
            </w:pPr>
            <w:r/>
            <w:r>
              <w:rPr>
                <w:rFonts w:ascii="Arial" w:hAnsi="Arial"/>
                <w:b w:val="0"/>
                <w:sz w:val="15"/>
              </w:rPr>
              <w:t>StrengtheningPlanMemberId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6" name="Picture 66"/>
            <wp:cNvGraphicFramePr>
              <a:graphicFrameLocks noChangeAspect="1"/>
            </wp:cNvGraphicFramePr>
            <a:graphic>
              <a:graphicData uri="http://schemas.openxmlformats.org/drawingml/2006/picture">
                <pic:pic>
                  <pic:nvPicPr>
                    <pic:cNvPr id="0" name="m6_wf_templates_1.png"/>
                    <pic:cNvPicPr/>
                  </pic:nvPicPr>
                  <pic:blipFill>
                    <a:blip r:embed="rId7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7" name="Picture 67"/>
            <wp:cNvGraphicFramePr>
              <a:graphicFrameLocks noChangeAspect="1"/>
            </wp:cNvGraphicFramePr>
            <a:graphic>
              <a:graphicData uri="http://schemas.openxmlformats.org/drawingml/2006/picture">
                <pic:pic>
                  <pic:nvPicPr>
                    <pic:cNvPr id="0" name="m6_wf_templates_2.png"/>
                    <pic:cNvPicPr/>
                  </pic:nvPicPr>
                  <pic:blipFill>
                    <a:blip r:embed="rId7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8" name="Picture 68"/>
            <wp:cNvGraphicFramePr>
              <a:graphicFrameLocks noChangeAspect="1"/>
            </wp:cNvGraphicFramePr>
            <a:graphic>
              <a:graphicData uri="http://schemas.openxmlformats.org/drawingml/2006/picture">
                <pic:pic>
                  <pic:nvPicPr>
                    <pic:cNvPr id="0" name="m6_wf_templates_3.png"/>
                    <pic:cNvPicPr/>
                  </pic:nvPicPr>
                  <pic:blipFill>
                    <a:blip r:embed="rId7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69" name="Picture 69"/>
            <wp:cNvGraphicFramePr>
              <a:graphicFrameLocks noChangeAspect="1"/>
            </wp:cNvGraphicFramePr>
            <a:graphic>
              <a:graphicData uri="http://schemas.openxmlformats.org/drawingml/2006/picture">
                <pic:pic>
                  <pic:nvPicPr>
                    <pic:cNvPr id="0" name="m6_wf_templates_4.png"/>
                    <pic:cNvPicPr/>
                  </pic:nvPicPr>
                  <pic:blipFill>
                    <a:blip r:embed="rId7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69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0" name="Picture 70"/>
            <wp:cNvGraphicFramePr>
              <a:graphicFrameLocks noChangeAspect="1"/>
            </wp:cNvGraphicFramePr>
            <a:graphic>
              <a:graphicData uri="http://schemas.openxmlformats.org/drawingml/2006/picture">
                <pic:pic>
                  <pic:nvPicPr>
                    <pic:cNvPr id="0" name="m6_requests_1.png"/>
                    <pic:cNvPicPr/>
                  </pic:nvPicPr>
                  <pic:blipFill>
                    <a:blip r:embed="rId80"/>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70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1" name="Picture 71"/>
            <wp:cNvGraphicFramePr>
              <a:graphicFrameLocks noChangeAspect="1"/>
            </wp:cNvGraphicFramePr>
            <a:graphic>
              <a:graphicData uri="http://schemas.openxmlformats.org/drawingml/2006/picture">
                <pic:pic>
                  <pic:nvPicPr>
                    <pic:cNvPr id="0" name="m6_requests_2.png"/>
                    <pic:cNvPicPr/>
                  </pic:nvPicPr>
                  <pic:blipFill>
                    <a:blip r:embed="rId81"/>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71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2" name="Picture 72"/>
            <wp:cNvGraphicFramePr>
              <a:graphicFrameLocks noChangeAspect="1"/>
            </wp:cNvGraphicFramePr>
            <a:graphic>
              <a:graphicData uri="http://schemas.openxmlformats.org/drawingml/2006/picture">
                <pic:pic>
                  <pic:nvPicPr>
                    <pic:cNvPr id="0" name="m6_requests_3.png"/>
                    <pic:cNvPicPr/>
                  </pic:nvPicPr>
                  <pic:blipFill>
                    <a:blip r:embed="rId82"/>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72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3" name="Picture 73"/>
            <wp:cNvGraphicFramePr>
              <a:graphicFrameLocks noChangeAspect="1"/>
            </wp:cNvGraphicFramePr>
            <a:graphic>
              <a:graphicData uri="http://schemas.openxmlformats.org/drawingml/2006/picture">
                <pic:pic>
                  <pic:nvPicPr>
                    <pic:cNvPr id="0" name="m6_requests_4.png"/>
                    <pic:cNvPicPr/>
                  </pic:nvPicPr>
                  <pic:blipFill>
                    <a:blip r:embed="rId83"/>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73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4" name="Picture 74"/>
            <wp:cNvGraphicFramePr>
              <a:graphicFrameLocks noChangeAspect="1"/>
            </wp:cNvGraphicFramePr>
            <a:graphic>
              <a:graphicData uri="http://schemas.openxmlformats.org/drawingml/2006/picture">
                <pic:pic>
                  <pic:nvPicPr>
                    <pic:cNvPr id="0" name="m6_requests_5.png"/>
                    <pic:cNvPicPr/>
                  </pic:nvPicPr>
                  <pic:blipFill>
                    <a:blip r:embed="rId84"/>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74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5" name="Picture 75"/>
            <wp:cNvGraphicFramePr>
              <a:graphicFrameLocks noChangeAspect="1"/>
            </wp:cNvGraphicFramePr>
            <a:graphic>
              <a:graphicData uri="http://schemas.openxmlformats.org/drawingml/2006/picture">
                <pic:pic>
                  <pic:nvPicPr>
                    <pic:cNvPr id="0" name="m6_requests_6.png"/>
                    <pic:cNvPicPr/>
                  </pic:nvPicPr>
                  <pic:blipFill>
                    <a:blip r:embed="rId85"/>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75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6" name="Picture 76"/>
            <wp:cNvGraphicFramePr>
              <a:graphicFrameLocks noChangeAspect="1"/>
            </wp:cNvGraphicFramePr>
            <a:graphic>
              <a:graphicData uri="http://schemas.openxmlformats.org/drawingml/2006/picture">
                <pic:pic>
                  <pic:nvPicPr>
                    <pic:cNvPr id="0" name="m6_requests_7.png"/>
                    <pic:cNvPicPr/>
                  </pic:nvPicPr>
                  <pic:blipFill>
                    <a:blip r:embed="rId86"/>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76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7" name="Picture 77"/>
            <wp:cNvGraphicFramePr>
              <a:graphicFrameLocks noChangeAspect="1"/>
            </wp:cNvGraphicFramePr>
            <a:graphic>
              <a:graphicData uri="http://schemas.openxmlformats.org/drawingml/2006/picture">
                <pic:pic>
                  <pic:nvPicPr>
                    <pic:cNvPr id="0" name="m6_notifications.png"/>
                    <pic:cNvPicPr/>
                  </pic:nvPicPr>
                  <pic:blipFill>
                    <a:blip r:embed="rId87"/>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77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8" name="Picture 78"/>
            <wp:cNvGraphicFramePr>
              <a:graphicFrameLocks noChangeAspect="1"/>
            </wp:cNvGraphicFramePr>
            <a:graphic>
              <a:graphicData uri="http://schemas.openxmlformats.org/drawingml/2006/picture">
                <pic:pic>
                  <pic:nvPicPr>
                    <pic:cNvPr id="0" name="m7_8_lc_terms_1.png"/>
                    <pic:cNvPicPr/>
                  </pic:nvPicPr>
                  <pic:blipFill>
                    <a:blip r:embed="rId88"/>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78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79" name="Picture 79"/>
            <wp:cNvGraphicFramePr>
              <a:graphicFrameLocks noChangeAspect="1"/>
            </wp:cNvGraphicFramePr>
            <a:graphic>
              <a:graphicData uri="http://schemas.openxmlformats.org/drawingml/2006/picture">
                <pic:pic>
                  <pic:nvPicPr>
                    <pic:cNvPr id="0" name="m7_8_lc_terms_2.png"/>
                    <pic:cNvPicPr/>
                  </pic:nvPicPr>
                  <pic:blipFill>
                    <a:blip r:embed="rId89"/>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0" name="Picture 80"/>
            <wp:cNvGraphicFramePr>
              <a:graphicFrameLocks noChangeAspect="1"/>
            </wp:cNvGraphicFramePr>
            <a:graphic>
              <a:graphicData uri="http://schemas.openxmlformats.org/drawingml/2006/picture">
                <pic:pic>
                  <pic:nvPicPr>
                    <pic:cNvPr id="0" name="m7_8_lc_terms_3.png"/>
                    <pic:cNvPicPr/>
                  </pic:nvPicPr>
                  <pic:blipFill>
                    <a:blip r:embed="rId90"/>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1" name="Picture 81"/>
            <wp:cNvGraphicFramePr>
              <a:graphicFrameLocks noChangeAspect="1"/>
            </wp:cNvGraphicFramePr>
            <a:graphic>
              <a:graphicData uri="http://schemas.openxmlformats.org/drawingml/2006/picture">
                <pic:pic>
                  <pic:nvPicPr>
                    <pic:cNvPr id="0" name="m7_8_lc_terms_4.png"/>
                    <pic:cNvPicPr/>
                  </pic:nvPicPr>
                  <pic:blipFill>
                    <a:blip r:embed="rId91"/>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2" name="Picture 82"/>
            <wp:cNvGraphicFramePr>
              <a:graphicFrameLocks noChangeAspect="1"/>
            </wp:cNvGraphicFramePr>
            <a:graphic>
              <a:graphicData uri="http://schemas.openxmlformats.org/drawingml/2006/picture">
                <pic:pic>
                  <pic:nvPicPr>
                    <pic:cNvPr id="0" name="m7_8_lc_terms_5.png"/>
                    <pic:cNvPicPr/>
                  </pic:nvPicPr>
                  <pic:blipFill>
                    <a:blip r:embed="rId92"/>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3" name="Picture 83"/>
            <wp:cNvGraphicFramePr>
              <a:graphicFrameLocks noChangeAspect="1"/>
            </wp:cNvGraphicFramePr>
            <a:graphic>
              <a:graphicData uri="http://schemas.openxmlformats.org/drawingml/2006/picture">
                <pic:pic>
                  <pic:nvPicPr>
                    <pic:cNvPr id="0" name="m7_8_lc_ops_1.png"/>
                    <pic:cNvPicPr/>
                  </pic:nvPicPr>
                  <pic:blipFill>
                    <a:blip r:embed="rId93"/>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83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4" name="Picture 84"/>
            <wp:cNvGraphicFramePr>
              <a:graphicFrameLocks noChangeAspect="1"/>
            </wp:cNvGraphicFramePr>
            <a:graphic>
              <a:graphicData uri="http://schemas.openxmlformats.org/drawingml/2006/picture">
                <pic:pic>
                  <pic:nvPicPr>
                    <pic:cNvPr id="0" name="m7_8_lc_ops_2.png"/>
                    <pic:cNvPicPr/>
                  </pic:nvPicPr>
                  <pic:blipFill>
                    <a:blip r:embed="rId94"/>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84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5" name="Picture 85"/>
            <wp:cNvGraphicFramePr>
              <a:graphicFrameLocks noChangeAspect="1"/>
            </wp:cNvGraphicFramePr>
            <a:graphic>
              <a:graphicData uri="http://schemas.openxmlformats.org/drawingml/2006/picture">
                <pic:pic>
                  <pic:nvPicPr>
                    <pic:cNvPr id="0" name="m7_8_lc_ops_3.png"/>
                    <pic:cNvPicPr/>
                  </pic:nvPicPr>
                  <pic:blipFill>
                    <a:blip r:embed="rId95"/>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85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6" name="Picture 86"/>
            <wp:cNvGraphicFramePr>
              <a:graphicFrameLocks noChangeAspect="1"/>
            </wp:cNvGraphicFramePr>
            <a:graphic>
              <a:graphicData uri="http://schemas.openxmlformats.org/drawingml/2006/picture">
                <pic:pic>
                  <pic:nvPicPr>
                    <pic:cNvPr id="0" name="m7_8_lc_ops_4.png"/>
                    <pic:cNvPicPr/>
                  </pic:nvPicPr>
                  <pic:blipFill>
                    <a:blip r:embed="rId96"/>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86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7" name="Picture 87"/>
            <wp:cNvGraphicFramePr>
              <a:graphicFrameLocks noChangeAspect="1"/>
            </wp:cNvGraphicFramePr>
            <a:graphic>
              <a:graphicData uri="http://schemas.openxmlformats.org/drawingml/2006/picture">
                <pic:pic>
                  <pic:nvPicPr>
                    <pic:cNvPr id="0" name="m7_8_lc_ops_5.png"/>
                    <pic:cNvPicPr/>
                  </pic:nvPicPr>
                  <pic:blipFill>
                    <a:blip r:embed="rId97"/>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87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8" name="Picture 88"/>
            <wp:cNvGraphicFramePr>
              <a:graphicFrameLocks noChangeAspect="1"/>
            </wp:cNvGraphicFramePr>
            <a:graphic>
              <a:graphicData uri="http://schemas.openxmlformats.org/drawingml/2006/picture">
                <pic:pic>
                  <pic:nvPicPr>
                    <pic:cNvPr id="0" name="m7_8_lc_ops_6.png"/>
                    <pic:cNvPicPr/>
                  </pic:nvPicPr>
                  <pic:blipFill>
                    <a:blip r:embed="rId98"/>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88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89" name="Picture 89"/>
            <wp:cNvGraphicFramePr>
              <a:graphicFrameLocks noChangeAspect="1"/>
            </wp:cNvGraphicFramePr>
            <a:graphic>
              <a:graphicData uri="http://schemas.openxmlformats.org/drawingml/2006/picture">
                <pic:pic>
                  <pic:nvPicPr>
                    <pic:cNvPr id="0" name="m7_8_lc_ops_7.png"/>
                    <pic:cNvPicPr/>
                  </pic:nvPicPr>
                  <pic:blipFill>
                    <a:blip r:embed="rId99"/>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89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0" name="Picture 90"/>
            <wp:cNvGraphicFramePr>
              <a:graphicFrameLocks noChangeAspect="1"/>
            </wp:cNvGraphicFramePr>
            <a:graphic>
              <a:graphicData uri="http://schemas.openxmlformats.org/drawingml/2006/picture">
                <pic:pic>
                  <pic:nvPicPr>
                    <pic:cNvPr id="0" name="m7_8_lc_ops_8.png"/>
                    <pic:cNvPicPr/>
                  </pic:nvPicPr>
                  <pic:blipFill>
                    <a:blip r:embed="rId100"/>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90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1" name="Picture 91"/>
            <wp:cNvGraphicFramePr>
              <a:graphicFrameLocks noChangeAspect="1"/>
            </wp:cNvGraphicFramePr>
            <a:graphic>
              <a:graphicData uri="http://schemas.openxmlformats.org/drawingml/2006/picture">
                <pic:pic>
                  <pic:nvPicPr>
                    <pic:cNvPr id="0" name="m7_8_lc_ops_9.png"/>
                    <pic:cNvPicPr/>
                  </pic:nvPicPr>
                  <pic:blipFill>
                    <a:blip r:embed="rId101"/>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91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247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fin.CompanyProductLine</w:t>
            </w:r>
          </w:p>
        </w:tc>
        <w:tc>
          <w:tcPr>
            <w:tcW w:type="dxa" w:w="10205"/>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fin.CountryRegion</w:t>
            </w:r>
          </w:p>
        </w:tc>
        <w:tc>
          <w:tcPr>
            <w:tcW w:type="dxa" w:w="10205"/>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fin.CountryRiskProfile</w:t>
            </w:r>
          </w:p>
        </w:tc>
        <w:tc>
          <w:tcPr>
            <w:tcW w:type="dxa" w:w="10205"/>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fin.CreditAssessment</w:t>
            </w:r>
          </w:p>
        </w:tc>
        <w:tc>
          <w:tcPr>
            <w:tcW w:type="dxa" w:w="10205"/>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fin.CreditAssessmentBureau</w:t>
            </w:r>
          </w:p>
        </w:tc>
        <w:tc>
          <w:tcPr>
            <w:tcW w:type="dxa" w:w="10205"/>
            <w:shd w:val="clear" w:color="auto" w:fill="E8EEF6"/>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fin.CreditAssessmentFacility</w:t>
            </w:r>
          </w:p>
        </w:tc>
        <w:tc>
          <w:tcPr>
            <w:tcW w:type="dxa" w:w="10205"/>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fin.CreditAssessmentFactor</w:t>
            </w:r>
          </w:p>
        </w:tc>
        <w:tc>
          <w:tcPr>
            <w:tcW w:type="dxa" w:w="10205"/>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fin.CreditAssessmentFinding</w:t>
            </w:r>
          </w:p>
        </w:tc>
        <w:tc>
          <w:tcPr>
            <w:tcW w:type="dxa" w:w="10205"/>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fin.CreditAssessmentGuarantor</w:t>
            </w:r>
          </w:p>
        </w:tc>
        <w:tc>
          <w:tcPr>
            <w:tcW w:type="dxa" w:w="10205"/>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fin.CreditAssessmentInput</w:t>
            </w:r>
          </w:p>
        </w:tc>
        <w:tc>
          <w:tcPr>
            <w:tcW w:type="dxa" w:w="10205"/>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fin.CreditAssessmentPlan</w:t>
            </w:r>
          </w:p>
        </w:tc>
        <w:tc>
          <w:tcPr>
            <w:tcW w:type="dxa" w:w="10205"/>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shd w:val="clear" w:color="auto" w:fill="E8EEF6"/>
          </w:tcPr>
          <w:p>
            <w:pPr>
              <w:spacing w:after="0" w:before="0"/>
            </w:pPr>
            <w:r/>
            <w:r>
              <w:rPr>
                <w:rFonts w:ascii="Arial" w:hAnsi="Arial"/>
                <w:b w:val="0"/>
                <w:sz w:val="15"/>
              </w:rPr>
              <w:t>m5_financials_9</w:t>
            </w:r>
          </w:p>
        </w:tc>
      </w:tr>
      <w:tr>
        <w:trPr>
          <w:cantSplit w:val="true"/>
        </w:trPr>
        <w:tc>
          <w:tcPr>
            <w:tcW w:type="dxa" w:w="3515"/>
          </w:tcPr>
          <w:p>
            <w:pPr>
              <w:spacing w:after="0" w:before="0"/>
            </w:pPr>
            <w:r/>
            <w:r>
              <w:rPr>
                <w:rFonts w:ascii="Arial" w:hAnsi="Arial"/>
                <w:b w:val="0"/>
                <w:sz w:val="15"/>
              </w:rPr>
              <w:t>fin.CreditAssessmentPlanStep</w:t>
            </w:r>
          </w:p>
        </w:tc>
        <w:tc>
          <w:tcPr>
            <w:tcW w:type="dxa" w:w="10205"/>
          </w:tcPr>
          <w:p>
            <w:pPr>
              <w:spacing w:after="0" w:before="0"/>
            </w:pPr>
            <w:r/>
            <w:r>
              <w:rPr>
                <w:rFonts w:ascii="Arial" w:hAnsi="Arial"/>
                <w:b w:val="0"/>
                <w:sz w:val="15"/>
              </w:rPr>
              <w:t>A step of a strengthening plan: the remedy applied, the amount it moved and the grade after it</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fin.CreditAssessmentReclass</w:t>
            </w:r>
          </w:p>
        </w:tc>
        <w:tc>
          <w:tcPr>
            <w:tcW w:type="dxa" w:w="10205"/>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fin.CreditAssessmentRemedy</w:t>
            </w:r>
          </w:p>
        </w:tc>
        <w:tc>
          <w:tcPr>
            <w:tcW w:type="dxa" w:w="10205"/>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fin.CreditAssessmentScenario</w:t>
            </w:r>
          </w:p>
        </w:tc>
        <w:tc>
          <w:tcPr>
            <w:tcW w:type="dxa" w:w="10205"/>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fin.CreditAssessmentTrigger</w:t>
            </w:r>
          </w:p>
        </w:tc>
        <w:tc>
          <w:tcPr>
            <w:tcW w:type="dxa" w:w="10205"/>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fin.CreditMetric</w:t>
            </w:r>
          </w:p>
        </w:tc>
        <w:tc>
          <w:tcPr>
            <w:tcW w:type="dxa" w:w="10205"/>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w:t>
            </w:r>
          </w:p>
        </w:tc>
        <w:tc>
          <w:tcPr>
            <w:tcW w:type="dxa" w:w="10205"/>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fin.CreditRemedyStep</w:t>
            </w:r>
          </w:p>
        </w:tc>
        <w:tc>
          <w:tcPr>
            <w:tcW w:type="dxa" w:w="10205"/>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fin.CreditRemedyTrigger</w:t>
            </w:r>
          </w:p>
        </w:tc>
        <w:tc>
          <w:tcPr>
            <w:tcW w:type="dxa" w:w="10205"/>
          </w:tcPr>
          <w:p>
            <w:pPr>
              <w:spacing w:after="0" w:before="0"/>
            </w:pPr>
            <w:r/>
            <w:r>
              <w:rPr>
                <w:rFonts w:ascii="Arial" w:hAnsi="Arial"/>
                <w:b w:val="0"/>
                <w:sz w:val="15"/>
              </w:rPr>
              <w:t>A finding a remedy answers: a metric or an adjustment code</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fin.CreditText</w:t>
            </w:r>
          </w:p>
        </w:tc>
        <w:tc>
          <w:tcPr>
            <w:tcW w:type="dxa" w:w="10205"/>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fin.IndustryProfile</w:t>
            </w:r>
          </w:p>
        </w:tc>
        <w:tc>
          <w:tcPr>
            <w:tcW w:type="dxa" w:w="10205"/>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fin.IndustrySensitivity</w:t>
            </w:r>
          </w:p>
        </w:tc>
        <w:tc>
          <w:tcPr>
            <w:tcW w:type="dxa" w:w="10205"/>
          </w:tcPr>
          <w:p>
            <w:pPr>
              <w:spacing w:after="0" w:before="0"/>
            </w:pPr>
            <w:r/>
            <w:r>
              <w:rPr>
                <w:rFonts w:ascii="Arial" w:hAnsi="Arial"/>
                <w:b w:val="0"/>
                <w:sz w:val="15"/>
              </w:rPr>
              <w:t>The sensitivity 0 (none) to 5 (extreme) of an activity to a driver of stress (docs/35 section 14)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w:t>
            </w:r>
          </w:p>
        </w:tc>
        <w:tc>
          <w:tcPr>
            <w:tcW w:type="dxa" w:w="10205"/>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fin.MacroScenarioCountry</w:t>
            </w:r>
          </w:p>
        </w:tc>
        <w:tc>
          <w:tcPr>
            <w:tcW w:type="dxa" w:w="10205"/>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fin.MacroScenarioIntensity</w:t>
            </w:r>
          </w:p>
        </w:tc>
        <w:tc>
          <w:tcPr>
            <w:tcW w:type="dxa" w:w="10205"/>
            <w:shd w:val="clear" w:color="auto" w:fill="E8EEF6"/>
          </w:tcPr>
          <w:p>
            <w:pPr>
              <w:spacing w:after="0" w:before="0"/>
            </w:pPr>
            <w:r/>
            <w:r>
              <w:rPr>
                <w:rFonts w:ascii="Arial" w:hAnsi="Arial"/>
                <w:b w:val="0"/>
                <w:sz w:val="15"/>
              </w:rPr>
              <w:t>The intensity 0 to 1 of a driver in a macro scenario (docs/35 section 14)</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fin.PresentationVersion</w:t>
            </w:r>
          </w:p>
        </w:tc>
        <w:tc>
          <w:tcPr>
            <w:tcW w:type="dxa" w:w="10205"/>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fin.PresentationVersionStep</w:t>
            </w:r>
          </w:p>
        </w:tc>
        <w:tc>
          <w:tcPr>
            <w:tcW w:type="dxa" w:w="10205"/>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fin.ProductCategory</w:t>
            </w:r>
          </w:p>
        </w:tc>
        <w:tc>
          <w:tcPr>
            <w:tcW w:type="dxa" w:w="10205"/>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fin.RatingGrade</w:t>
            </w:r>
          </w:p>
        </w:tc>
        <w:tc>
          <w:tcPr>
            <w:tcW w:type="dxa" w:w="10205"/>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fin.RevenueEstimate</w:t>
            </w:r>
          </w:p>
        </w:tc>
        <w:tc>
          <w:tcPr>
            <w:tcW w:type="dxa" w:w="10205"/>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fin.RiskAnchor</w:t>
            </w:r>
          </w:p>
        </w:tc>
        <w:tc>
          <w:tcPr>
            <w:tcW w:type="dxa" w:w="10205"/>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fin.ScorecardParameter</w:t>
            </w:r>
          </w:p>
        </w:tc>
        <w:tc>
          <w:tcPr>
            <w:tcW w:type="dxa" w:w="10205"/>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fin.ScorecardSubfactor</w:t>
            </w:r>
          </w:p>
        </w:tc>
        <w:tc>
          <w:tcPr>
            <w:tcW w:type="dxa" w:w="10205"/>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fin.ShockDriver</w:t>
            </w:r>
          </w:p>
        </w:tc>
        <w:tc>
          <w:tcPr>
            <w:tcW w:type="dxa" w:w="10205"/>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fin.StandardLine</w:t>
            </w:r>
          </w:p>
        </w:tc>
        <w:tc>
          <w:tcPr>
            <w:tcW w:type="dxa" w:w="10205"/>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fin.StandardLineTotal</w:t>
            </w:r>
          </w:p>
        </w:tc>
        <w:tc>
          <w:tcPr>
            <w:tcW w:type="dxa" w:w="10205"/>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fin.StatementRatio</w:t>
            </w:r>
          </w:p>
        </w:tc>
        <w:tc>
          <w:tcPr>
            <w:tcW w:type="dxa" w:w="10205"/>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fin.StrengtheningPlan</w:t>
            </w:r>
          </w:p>
        </w:tc>
        <w:tc>
          <w:tcPr>
            <w:tcW w:type="dxa" w:w="10205"/>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fin.StrengtheningPlanMember</w:t>
            </w:r>
          </w:p>
        </w:tc>
        <w:tc>
          <w:tcPr>
            <w:tcW w:type="dxa" w:w="10205"/>
            <w:shd w:val="clear" w:color="auto" w:fill="E8EEF6"/>
          </w:tcPr>
          <w:p>
            <w:pPr>
              <w:spacing w:after="0" w:before="0"/>
            </w:pPr>
            <w:r/>
            <w:r>
              <w:rPr>
                <w:rFonts w:ascii="Arial" w:hAnsi="Arial"/>
                <w:b w:val="0"/>
                <w:sz w:val="15"/>
              </w:rPr>
              <w:t>A remedy of a package plan, in the order the plan applies it</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obl.CovenantTestStatement</w:t>
            </w:r>
          </w:p>
        </w:tc>
        <w:tc>
          <w:tcPr>
            <w:tcW w:type="dxa" w:w="10205"/>
            <w:shd w:val="clear" w:color="auto" w:fill="E8EEF6"/>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247</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912</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206</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706</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628</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78</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650</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792</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91</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