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وتوقع تصرف جهات التمويل، ADR 0020، وما تبلغ به جهة التمويل عن كل تسهيل، ADR 0021، والتقييم التجريبي قبل اعتماد القوائم، ADR 0022، ونسخ العرض البديلة، ADR 0023، وملف الجاهزية والإنذار المبكر، ADR 0024، وتقييم الموازنة، ADR 0025؛ والمنظور الداخلي للشركة،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(142 حالة، الخطوة 19d) يقارن المحرك بالمرجع رقمًا برقم؛ واختبارات CA1 إلى CA21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‎docs/adr/0022-trial-assessment.md‎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‎docs/adr/0023-presentation-versions.md‎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‎docs/adr/0024-readiness-file-and-early-warning.md‎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‎docs/adr/0025-budget-statements.md‎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قوة الضمانات أمام جهة التمويل (درجة التسهيلات)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51">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52">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3">
        <w:r>
          <w:rPr>
            <w:rFonts w:ascii="Arial" w:cs="Arial" w:eastAsia="Arial" w:hAnsi="Arial"/>
            <w:b/>
            <w:bCs/>
            <w:color w:val="1F3A5F"/>
            <w:sz w:val="20"/>
            <w:szCs w:val="20"/>
            <w:rtl/>
          </w:rPr>
          <w:t xml:space="preserve">18. التقرير</w:t>
        </w:r>
      </w:hyperlink>
    </w:p>
    <w:p>
      <w:pPr>
        <w:bidi/>
        <w:spacing w:after="50" w:before="0"/>
        <w:ind w:left="0"/>
      </w:pPr>
      <w:hyperlink w:history="1" w:anchor="_sec54">
        <w:r>
          <w:rPr>
            <w:rFonts w:ascii="Arial" w:cs="Arial" w:eastAsia="Arial" w:hAnsi="Arial"/>
            <w:b/>
            <w:bCs/>
            <w:color w:val="1F3A5F"/>
            <w:sz w:val="20"/>
            <w:szCs w:val="20"/>
            <w:rtl/>
          </w:rPr>
          <w:t xml:space="preserve">19. مثال محسوب</w:t>
        </w:r>
      </w:hyperlink>
    </w:p>
    <w:p>
      <w:pPr>
        <w:bidi/>
        <w:spacing w:after="50" w:before="0"/>
        <w:ind w:left="0"/>
      </w:pPr>
      <w:hyperlink w:history="1" w:anchor="_sec55">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6">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7">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8">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59">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60">
        <w:r>
          <w:rPr>
            <w:rFonts w:ascii="Arial" w:cs="Arial" w:eastAsia="Arial" w:hAnsi="Arial"/>
            <w:b/>
            <w:bCs/>
            <w:color w:val="1F3A5F"/>
            <w:sz w:val="20"/>
            <w:szCs w:val="20"/>
            <w:rtl/>
          </w:rPr>
          <w:t xml:space="preserve">25. حدود معروفة</w:t>
        </w:r>
      </w:hyperlink>
    </w:p>
    <w:p>
      <w:pPr>
        <w:bidi/>
        <w:spacing w:after="50" w:before="0"/>
        <w:ind w:left="0"/>
      </w:pPr>
      <w:hyperlink w:history="1" w:anchor="_sec61">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بجهات التمويل. </w:t>
      </w:r>
      <w:r>
        <w:rPr>
          <w:rFonts w:ascii="Arial" w:cs="Arial" w:eastAsia="Arial" w:hAnsi="Arial"/>
          <w:b/>
          <w:bCs/>
          <w:sz w:val="21"/>
          <w:szCs w:val="21"/>
          <w:rtl/>
        </w:rPr>
        <w:t xml:space="preserve">والنظام ليس نظامًا للبنك</w:t>
      </w:r>
      <w:r>
        <w:rPr>
          <w:rFonts w:ascii="Arial" w:cs="Arial" w:eastAsia="Arial" w:hAnsi="Arial"/>
          <w:b w:val="false"/>
          <w:bCs w:val="false"/>
          <w:sz w:val="21"/>
          <w:szCs w:val="21"/>
          <w:rtl/>
        </w:rPr>
        <w:t xml:space="preserve">؛ فالبنك له منظومته. إنه </w:t>
      </w:r>
      <w:r>
        <w:rPr>
          <w:rFonts w:ascii="Arial" w:cs="Arial" w:eastAsia="Arial" w:hAnsi="Arial"/>
          <w:b/>
          <w:bCs/>
          <w:sz w:val="21"/>
          <w:szCs w:val="21"/>
          <w:rtl/>
        </w:rPr>
        <w:t xml:space="preserve">مرآة داخلية للشركة</w:t>
      </w:r>
      <w:r>
        <w:rPr>
          <w:rFonts w:ascii="Arial" w:cs="Arial" w:eastAsia="Arial" w:hAnsi="Arial"/>
          <w:b w:val="false"/>
          <w:bCs w:val="false"/>
          <w:sz w:val="21"/>
          <w:szCs w:val="21"/>
          <w:rtl/>
        </w:rPr>
        <w:t xml:space="preserve">: يريها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على طريقة وكالات التصنيف، ولماذا، وما الذي تفعله الآن لتقوّي موقفها (</w:t>
      </w:r>
      <w:r>
        <w:rPr>
          <w:rFonts w:ascii="Courier New" w:cs="Courier New" w:eastAsia="Courier New" w:hAnsi="Courier New"/>
          <w:b w:val="false"/>
          <w:bCs w:val="false"/>
          <w:color w:val="1F2937"/>
          <w:sz w:val="18"/>
          <w:szCs w:val="18"/>
          <w:shd w:fill="F1F3F5" w:color="auto" w:val="clear"/>
          <w:rtl/>
        </w:rPr>
        <w:t xml:space="preserve">‎docs/36‎</w:t>
      </w:r>
      <w:r>
        <w:rPr>
          <w:rFonts w:ascii="Arial" w:cs="Arial" w:eastAsia="Arial" w:hAnsi="Arial"/>
          <w:b w:val="false"/>
          <w:bCs w:val="false"/>
          <w:sz w:val="21"/>
          <w:szCs w:val="21"/>
          <w:rtl/>
        </w:rPr>
        <w:t xml:space="preserve">، قرار المالك 34). فتستبق المخاطر وتتداركها، وتعيد هيكلة قوائمها وتصنيف عناصرها وفق المعايير قبل اعتمادها النهائي، مدققة كانت أو داخلية، مع المؤثرات الداخلية والخارجية.</w:t>
      </w:r>
    </w:p>
    <w:p>
      <w:pPr>
        <w:bidi/>
        <w:spacing w:after="110" w:before="0" w:line="312"/>
      </w:pPr>
      <w:r>
        <w:rPr>
          <w:rFonts w:ascii="Arial" w:cs="Arial" w:eastAsia="Arial" w:hAnsi="Arial"/>
          <w:b w:val="false"/>
          <w:bCs w:val="false"/>
          <w:sz w:val="21"/>
          <w:szCs w:val="21"/>
          <w:rtl/>
        </w:rPr>
        <w:t xml:space="preserve">ويُحسب التقييم على قائمة معتمدة، أو </w:t>
      </w:r>
      <w:r>
        <w:rPr>
          <w:rFonts w:ascii="Arial" w:cs="Arial" w:eastAsia="Arial" w:hAnsi="Arial"/>
          <w:b/>
          <w:bCs/>
          <w:sz w:val="21"/>
          <w:szCs w:val="21"/>
          <w:rtl/>
        </w:rPr>
        <w:t xml:space="preserve">تقييمًا تجريبيًا</w:t>
      </w:r>
      <w:r>
        <w:rPr>
          <w:rFonts w:ascii="Arial" w:cs="Arial" w:eastAsia="Arial" w:hAnsi="Arial"/>
          <w:b w:val="false"/>
          <w:bCs w:val="false"/>
          <w:sz w:val="21"/>
          <w:szCs w:val="21"/>
          <w:rtl/>
        </w:rPr>
        <w:t xml:space="preserve"> على قائمة مسودة أو مقدّمة قبل اعتمادها: يُعاد كلما تغيّرت المسودة، ويبقى مسودة لا يُقدَّم (ADR 0022). وفي الحالين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محلل جهة التمويل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3"/>
        <w:gridCol w:w="4576"/>
        <w:gridCol w:w="1555"/>
      </w:tblGrid>
      <w:tr>
        <w:trPr>
          <w:cantSplit/>
          <w:tblHeader/>
        </w:trPr>
        <w:tc>
          <w:tcPr>
            <w:tcW w:type="dxa" w:w="3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معدّ التقييم، والتسهيلات والضمانات والتعهدات في المنصة، والكفلاء، وتقرير سمة، والنشاط وخطوط المنتجات</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معدّ التقييم؛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معدّ التقييم</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معدّ التقييم: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محلل جهة التمويل،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معدّ التقييم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معدّ التقييم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ما أبلغت به جهة التمويل الشركة عن تسهيل (قرار المالك 33، ADR 0021):</w:t>
      </w:r>
      <w:r>
        <w:rPr>
          <w:rFonts w:ascii="Arial" w:cs="Arial" w:eastAsia="Arial" w:hAnsi="Arial"/>
          <w:b w:val="false"/>
          <w:bCs w:val="false"/>
          <w:sz w:val="21"/>
          <w:szCs w:val="21"/>
          <w:rtl/>
        </w:rPr>
        <w:t xml:space="preserve"> تسجّل إدارة الخزينة لكل تسهيل ما أبلغها به البنك من قرار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توقع الشركة لتصرف جهات تمويلها</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قوة الضمانات أمام جهة التمويل (درجة التسهيلات)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معدّ التقييم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ما تتوقعه الشركة من جهات تمويلها في الأزمة</w:t>
      </w:r>
      <w:r>
        <w:rPr>
          <w:rFonts w:ascii="Arial" w:cs="Arial" w:eastAsia="Arial" w:hAnsi="Arial"/>
          <w:b w:val="false"/>
          <w:bCs w:val="false"/>
          <w:sz w:val="21"/>
          <w:szCs w:val="21"/>
          <w:rtl/>
        </w:rPr>
        <w:t xml:space="preserve"> (قرار المالك 32): البنوك لا تسحب التسهيلات المستعملة عادة، لكنها بتقديرها لمخاطر القطاع قد تخفض الخطوط أو توقف الحدود غير المسحوبة أو ترفع الهامش والرسوم. فتحسب الشركة ذلك مسبقًا لتبني احتياط سيولتها قبل وقوعه،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لترى 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محلل جهة التمويل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15.1 نسخ العرض البديلة قبل اعتماد القائمة (ADR 0023)</w:t>
      </w:r>
      <w:bookmarkEnd w:id="48"/>
    </w:p>
    <w:p>
      <w:pPr>
        <w:bidi/>
        <w:spacing w:after="110" w:before="0" w:line="312"/>
      </w:pPr>
      <w:r>
        <w:rPr>
          <w:rFonts w:ascii="Arial" w:cs="Arial" w:eastAsia="Arial" w:hAnsi="Arial"/>
          <w:b w:val="false"/>
          <w:bCs w:val="false"/>
          <w:sz w:val="21"/>
          <w:szCs w:val="21"/>
          <w:rtl/>
        </w:rPr>
        <w:t xml:space="preserve">خطط التقوية تُري الشركة الدرجة بعد كل خطوة. </w:t>
      </w:r>
      <w:r>
        <w:rPr>
          <w:rFonts w:ascii="Arial" w:cs="Arial" w:eastAsia="Arial" w:hAnsi="Arial"/>
          <w:b/>
          <w:bCs/>
          <w:sz w:val="21"/>
          <w:szCs w:val="21"/>
          <w:rtl/>
        </w:rPr>
        <w:t xml:space="preserve">ونسخة العرض</w:t>
      </w:r>
      <w:r>
        <w:rPr>
          <w:rFonts w:ascii="Arial" w:cs="Arial" w:eastAsia="Arial" w:hAnsi="Arial"/>
          <w:b w:val="false"/>
          <w:bCs w:val="false"/>
          <w:sz w:val="21"/>
          <w:szCs w:val="21"/>
          <w:rtl/>
        </w:rPr>
        <w:t xml:space="preserve"> تحوّل ما تختاره الشركة إلى قائمة فعلية:</w:t>
      </w:r>
    </w:p>
    <w:p>
      <w:pPr>
        <w:pStyle w:val="ListParagraph"/>
        <w:numPr>
          <w:ilvl w:val="0"/>
          <w:numId w:val="5"/>
        </w:numPr>
        <w:bidi/>
        <w:spacing w:after="70" w:before="0" w:line="300"/>
      </w:pPr>
      <w:r>
        <w:rPr>
          <w:rFonts w:ascii="Arial" w:cs="Arial" w:eastAsia="Arial" w:hAnsi="Arial"/>
          <w:b/>
          <w:bCs/>
          <w:sz w:val="21"/>
          <w:szCs w:val="21"/>
          <w:rtl/>
        </w:rPr>
        <w:t xml:space="preserve">تختار الشركة الحلول</w:t>
      </w:r>
      <w:r>
        <w:rPr>
          <w:rFonts w:ascii="Arial" w:cs="Arial" w:eastAsia="Arial" w:hAnsi="Arial"/>
          <w:b w:val="false"/>
          <w:bCs w:val="false"/>
          <w:sz w:val="21"/>
          <w:szCs w:val="21"/>
          <w:rtl/>
        </w:rPr>
        <w:t xml:space="preserve"> من القائمة أعلاه بترتيبها، ونسبة ما يُنفذ من كل حل، ولكل خطوة مستندها (اتفاقية مساندة، أو قرار الشركاء، أو اتفاق جدولة) وتاريخه ومبرّر مكتوب.</w:t>
      </w:r>
    </w:p>
    <w:p>
      <w:pPr>
        <w:pStyle w:val="ListParagraph"/>
        <w:numPr>
          <w:ilvl w:val="0"/>
          <w:numId w:val="5"/>
        </w:numPr>
        <w:bidi/>
        <w:spacing w:after="70" w:before="0" w:line="300"/>
      </w:pPr>
      <w:r>
        <w:rPr>
          <w:rFonts w:ascii="Arial" w:cs="Arial" w:eastAsia="Arial" w:hAnsi="Arial"/>
          <w:b/>
          <w:bCs/>
          <w:sz w:val="21"/>
          <w:szCs w:val="21"/>
          <w:rtl/>
        </w:rPr>
        <w:t xml:space="preserve">يبني النظام النسخة</w:t>
      </w:r>
      <w:r>
        <w:rPr>
          <w:rFonts w:ascii="Arial" w:cs="Arial" w:eastAsia="Arial" w:hAnsi="Arial"/>
          <w:b w:val="false"/>
          <w:bCs w:val="false"/>
          <w:sz w:val="21"/>
          <w:szCs w:val="21"/>
          <w:rtl/>
        </w:rPr>
        <w:t xml:space="preserve"> بخطوات الحلول نفسها، فتبقى الميزانية متوازنة، ويكتبها قائمة مسودة جديدة من السلسلة نفسها بسبب «إعادة هيكلة»، ويقيّمها تقييمًا تجريبيًا بمدخلات تقييم الأصل وكفلائه وتقرير سمة، مضافًا إليها دليل كل خطوة.</w:t>
      </w:r>
    </w:p>
    <w:p>
      <w:pPr>
        <w:pStyle w:val="ListParagraph"/>
        <w:numPr>
          <w:ilvl w:val="0"/>
          <w:numId w:val="5"/>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كل نسخة بجانب الأصل والنسخ الأخرى: الدرجة والمجموع والسيولة والدرجات المكتسبة، وكل بند تغيّر (</w:t>
      </w:r>
      <w:r>
        <w:rPr>
          <w:rFonts w:ascii="Courier New" w:cs="Courier New" w:eastAsia="Courier New" w:hAnsi="Courier New"/>
          <w:b w:val="false"/>
          <w:bCs w:val="false"/>
          <w:color w:val="1F2937"/>
          <w:sz w:val="18"/>
          <w:szCs w:val="18"/>
          <w:shd w:fill="F1F3F5" w:color="auto" w:val="clear"/>
          <w:rtl/>
        </w:rPr>
        <w:t xml:space="preserve">‎fin.v_PresentationComparison‎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‎fin.v_PresentationVersionLines‎</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شرط الجوهر:</w:t>
      </w:r>
      <w:r>
        <w:rPr>
          <w:rFonts w:ascii="Arial" w:cs="Arial" w:eastAsia="Arial" w:hAnsi="Arial"/>
          <w:b w:val="false"/>
          <w:bCs w:val="false"/>
          <w:sz w:val="21"/>
          <w:szCs w:val="21"/>
          <w:rtl/>
        </w:rPr>
        <w:t xml:space="preserve"> لا تصير النسخة قائمة إلا إن استندت كل خطوة إلى مستند مؤرخ في نهاية الفترة أو قبلها. وما اتُّفق عليه بعدها حدث لاحق لا يُقيد في الفترة، فتبقى النسخة خطة للمقارنة لا تُختار. ولا يغيّر العرض ما ستعيد جهة التمويل تبويبه، لأن النظام يقرأ المسودة الجديدة كما يقرأ أي قائمة.</w:t>
      </w:r>
    </w:p>
    <w:p>
      <w:pPr>
        <w:pStyle w:val="ListParagraph"/>
        <w:numPr>
          <w:ilvl w:val="0"/>
          <w:numId w:val="5"/>
        </w:numPr>
        <w:bidi/>
        <w:spacing w:after="70" w:before="0" w:line="300"/>
      </w:pPr>
      <w:r>
        <w:rPr>
          <w:rFonts w:ascii="Arial" w:cs="Arial" w:eastAsia="Arial" w:hAnsi="Arial"/>
          <w:b/>
          <w:bCs/>
          <w:sz w:val="21"/>
          <w:szCs w:val="21"/>
          <w:rtl/>
        </w:rPr>
        <w:t xml:space="preserve">الاختيار:</w:t>
      </w:r>
      <w:r>
        <w:rPr>
          <w:rFonts w:ascii="Arial" w:cs="Arial" w:eastAsia="Arial" w:hAnsi="Arial"/>
          <w:b w:val="false"/>
          <w:bCs w:val="false"/>
          <w:sz w:val="21"/>
          <w:szCs w:val="21"/>
          <w:rtl/>
        </w:rPr>
        <w:t xml:space="preserve"> يختار النسخة شخص من الإدارة المالية غير معدّها، فتحل مسودتها محل الأصل في السلسلة، وتُترك النسخ الأخرى. ثم تسير المسودة سيرة القائمة: تُقدَّم ويعتمدها غير معدّها، والمدققة بمراجعها ورأيه.</w:t>
      </w:r>
    </w:p>
    <w:p>
      <w:pPr>
        <w:bidi/>
        <w:spacing w:after="60" w:before="0"/>
      </w:pPr>
    </w:p>
    <w:p>
      <w:pPr>
        <w:pStyle w:val="Heading2"/>
        <w:bidi/>
      </w:pPr>
      <w:bookmarkStart w:name="_sec49" w:id="49"/>
      <w:r>
        <w:rPr>
          <w:rFonts w:ascii="Arial" w:cs="Arial" w:eastAsia="Arial" w:hAnsi="Arial"/>
          <w:b/>
          <w:bCs/>
          <w:color w:val="2B5C8A"/>
          <w:sz w:val="26"/>
          <w:szCs w:val="26"/>
          <w:rtl/>
        </w:rPr>
        <w:t xml:space="preserve">15.2 ملف الجاهزية قبل جهة التمويل والإنذار المبكر (ADR 0024)</w:t>
      </w:r>
      <w:bookmarkEnd w:id="49"/>
    </w:p>
    <w:p>
      <w:pPr>
        <w:bidi/>
        <w:spacing w:after="110" w:before="0" w:line="312"/>
      </w:pPr>
      <w:r>
        <w:rPr>
          <w:rFonts w:ascii="Arial" w:cs="Arial" w:eastAsia="Arial" w:hAnsi="Arial"/>
          <w:b w:val="false"/>
          <w:bCs w:val="false"/>
          <w:sz w:val="21"/>
          <w:szCs w:val="21"/>
          <w:rtl/>
        </w:rPr>
        <w:t xml:space="preserve">يربط النظام التقييم بمواعيد جهات التمويل في </w:t>
      </w:r>
      <w:r>
        <w:rPr>
          <w:rFonts w:ascii="Arial" w:cs="Arial" w:eastAsia="Arial" w:hAnsi="Arial"/>
          <w:b/>
          <w:bCs/>
          <w:sz w:val="21"/>
          <w:szCs w:val="21"/>
          <w:rtl/>
        </w:rPr>
        <w:t xml:space="preserve">مدة التنبيه</w:t>
      </w:r>
      <w:r>
        <w:rPr>
          <w:rFonts w:ascii="Arial" w:cs="Arial" w:eastAsia="Arial" w:hAnsi="Arial"/>
          <w:b w:val="false"/>
          <w:bCs w:val="false"/>
          <w:sz w:val="21"/>
          <w:szCs w:val="21"/>
          <w:rtl/>
        </w:rPr>
        <w:t xml:space="preserve"> (6 أشهر افتراضًا، يعدّلها المشترك بالإعداد </w:t>
      </w:r>
      <w:r>
        <w:rPr>
          <w:rFonts w:ascii="Courier New" w:cs="Courier New" w:eastAsia="Courier New" w:hAnsi="Courier New"/>
          <w:b w:val="false"/>
          <w:bCs w:val="false"/>
          <w:color w:val="1F2937"/>
          <w:sz w:val="18"/>
          <w:szCs w:val="18"/>
          <w:shd w:fill="F1F3F5" w:color="auto" w:val="clear"/>
          <w:rtl/>
        </w:rPr>
        <w:t xml:space="preserve">‎fin.readiness.lead_months‎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المواعيد:</w:t>
      </w:r>
      <w:r>
        <w:rPr>
          <w:rFonts w:ascii="Arial" w:cs="Arial" w:eastAsia="Arial" w:hAnsi="Arial"/>
          <w:b w:val="false"/>
          <w:bCs w:val="false"/>
          <w:sz w:val="21"/>
          <w:szCs w:val="21"/>
          <w:rtl/>
        </w:rPr>
        <w:t xml:space="preserve"> تجديد كل تسهيل ينتهي في المدة مع ما أبلغت به جهة تمويله، وكل اختبار تعهد مجدول مع آخر نتيجة لتعهده وهامشه، وكل تقرير مستحق لجهة تمويل.</w:t>
      </w:r>
    </w:p>
    <w:p>
      <w:pPr>
        <w:pStyle w:val="ListParagraph"/>
        <w:numPr>
          <w:ilvl w:val="0"/>
          <w:numId w:val="3"/>
        </w:numPr>
        <w:bidi/>
        <w:spacing w:after="70" w:before="0" w:line="300"/>
      </w:pPr>
      <w:r>
        <w:rPr>
          <w:rFonts w:ascii="Arial" w:cs="Arial" w:eastAsia="Arial" w:hAnsi="Arial"/>
          <w:b/>
          <w:bCs/>
          <w:sz w:val="21"/>
          <w:szCs w:val="21"/>
          <w:rtl/>
        </w:rPr>
        <w:t xml:space="preserve">جاهزية كل موعد:</w:t>
      </w:r>
    </w:p>
    <w:p>
      <w:pPr>
        <w:pStyle w:val="ListParagraph"/>
        <w:numPr>
          <w:ilvl w:val="1"/>
          <w:numId w:val="3"/>
        </w:numPr>
        <w:bidi/>
        <w:spacing w:after="70" w:before="0" w:line="300"/>
      </w:pPr>
      <w:r>
        <w:rPr>
          <w:rFonts w:ascii="Arial" w:cs="Arial" w:eastAsia="Arial" w:hAnsi="Arial"/>
          <w:b/>
          <w:bCs/>
          <w:sz w:val="21"/>
          <w:szCs w:val="21"/>
          <w:rtl/>
        </w:rPr>
        <w:t xml:space="preserve">حمراء:</w:t>
      </w:r>
      <w:r>
        <w:rPr>
          <w:rFonts w:ascii="Arial" w:cs="Arial" w:eastAsia="Arial" w:hAnsi="Arial"/>
          <w:b w:val="false"/>
          <w:bCs w:val="false"/>
          <w:sz w:val="21"/>
          <w:szCs w:val="21"/>
          <w:rtl/>
        </w:rPr>
        <w:t xml:space="preserve"> التقييم غير مصنّف، أو سيولته SGL-4، أو درجته B3 فأسوأ؛ أو كان آخر اختبار للتعهد خرقًا أو هامشه سالبًا؛ أو أبلغت جهة التمويل بإيقاف التسهيل أو تخفيضه أو عدم تجديده.</w:t>
      </w:r>
    </w:p>
    <w:p>
      <w:pPr>
        <w:pStyle w:val="ListParagraph"/>
        <w:numPr>
          <w:ilvl w:val="1"/>
          <w:numId w:val="3"/>
        </w:numPr>
        <w:bidi/>
        <w:spacing w:after="70" w:before="0" w:line="300"/>
      </w:pPr>
      <w:r>
        <w:rPr>
          <w:rFonts w:ascii="Arial" w:cs="Arial" w:eastAsia="Arial" w:hAnsi="Arial"/>
          <w:b/>
          <w:bCs/>
          <w:sz w:val="21"/>
          <w:szCs w:val="21"/>
          <w:rtl/>
        </w:rPr>
        <w:t xml:space="preserve">صفراء:</w:t>
      </w:r>
      <w:r>
        <w:rPr>
          <w:rFonts w:ascii="Arial" w:cs="Arial" w:eastAsia="Arial" w:hAnsi="Arial"/>
          <w:b w:val="false"/>
          <w:bCs w:val="false"/>
          <w:sz w:val="21"/>
          <w:szCs w:val="21"/>
          <w:rtl/>
        </w:rPr>
        <w:t xml:space="preserve"> السيولة SGL-3، أو النظرة سلبية، أو بقي خطر حرج أو إفصاح ناقص؛ أو قلّ هامش التعهد عن إنذاره (10% إن لم يُحدد).</w:t>
      </w:r>
    </w:p>
    <w:p>
      <w:pPr>
        <w:pStyle w:val="ListParagraph"/>
        <w:numPr>
          <w:ilvl w:val="1"/>
          <w:numId w:val="3"/>
        </w:numPr>
        <w:bidi/>
        <w:spacing w:after="70" w:before="0" w:line="300"/>
      </w:pPr>
      <w:r>
        <w:rPr>
          <w:rFonts w:ascii="Arial" w:cs="Arial" w:eastAsia="Arial" w:hAnsi="Arial"/>
          <w:b/>
          <w:bCs/>
          <w:sz w:val="21"/>
          <w:szCs w:val="21"/>
          <w:rtl/>
        </w:rPr>
        <w:t xml:space="preserve">خضراء:</w:t>
      </w:r>
      <w:r>
        <w:rPr>
          <w:rFonts w:ascii="Arial" w:cs="Arial" w:eastAsia="Arial" w:hAnsi="Arial"/>
          <w:b w:val="false"/>
          <w:bCs w:val="false"/>
          <w:sz w:val="21"/>
          <w:szCs w:val="21"/>
          <w:rtl/>
        </w:rPr>
        <w:t xml:space="preserve"> فيما عدا ذلك.</w:t>
      </w:r>
    </w:p>
    <w:p>
      <w:pPr>
        <w:pStyle w:val="ListParagraph"/>
        <w:numPr>
          <w:ilvl w:val="0"/>
          <w:numId w:val="3"/>
        </w:numPr>
        <w:bidi/>
        <w:spacing w:after="70" w:before="0" w:line="300"/>
      </w:pPr>
      <w:r>
        <w:rPr>
          <w:rFonts w:ascii="Arial" w:cs="Arial" w:eastAsia="Arial" w:hAnsi="Arial"/>
          <w:b/>
          <w:bCs/>
          <w:sz w:val="21"/>
          <w:szCs w:val="21"/>
          <w:rtl/>
        </w:rPr>
        <w:t xml:space="preserve">ما ستطلبه جهة التمويل:</w:t>
      </w:r>
      <w:r>
        <w:rPr>
          <w:rFonts w:ascii="Arial" w:cs="Arial" w:eastAsia="Arial" w:hAnsi="Arial"/>
          <w:b w:val="false"/>
          <w:bCs w:val="false"/>
          <w:sz w:val="21"/>
          <w:szCs w:val="21"/>
          <w:rtl/>
        </w:rPr>
        <w:t xml:space="preserve"> كل إفصاح ناقص، وتقرير سمة إن لم يُقرأ، ومستند كل حل مقترح.</w:t>
      </w:r>
    </w:p>
    <w:p>
      <w:pPr>
        <w:pStyle w:val="ListParagraph"/>
        <w:numPr>
          <w:ilvl w:val="0"/>
          <w:numId w:val="3"/>
        </w:numPr>
        <w:bidi/>
        <w:spacing w:after="70" w:before="0" w:line="300"/>
      </w:pPr>
      <w:r>
        <w:rPr>
          <w:rFonts w:ascii="Arial" w:cs="Arial" w:eastAsia="Arial" w:hAnsi="Arial"/>
          <w:b/>
          <w:bCs/>
          <w:sz w:val="21"/>
          <w:szCs w:val="21"/>
          <w:rtl/>
        </w:rPr>
        <w:t xml:space="preserve">الجدول الزمني:</w:t>
      </w:r>
      <w:r>
        <w:rPr>
          <w:rFonts w:ascii="Arial" w:cs="Arial" w:eastAsia="Arial" w:hAnsi="Arial"/>
          <w:b w:val="false"/>
          <w:bCs w:val="false"/>
          <w:sz w:val="21"/>
          <w:szCs w:val="21"/>
          <w:rtl/>
        </w:rPr>
        <w:t xml:space="preserve"> الحلول بترتيب ما تكسبه من درجات قبل نهاية السنة المالية للشركة (لأن الحل لا يُقيد في الفترة إلا بمستند مؤرخ في نهايتها أو قبلها)، ثم ما ستطلبه جهة التمويل قبل أول موعد بثلاثين يومًا.</w:t>
      </w:r>
    </w:p>
    <w:p>
      <w:pPr>
        <w:pStyle w:val="ListParagraph"/>
        <w:numPr>
          <w:ilvl w:val="0"/>
          <w:numId w:val="3"/>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كل يوم، لآخر تقييم محسوب لكل شركة، كل موعد في المدة جاهزيته غير خضراء (</w:t>
      </w:r>
      <w:r>
        <w:rPr>
          <w:rFonts w:ascii="Courier New" w:cs="Courier New" w:eastAsia="Courier New" w:hAnsi="Courier New"/>
          <w:b w:val="false"/>
          <w:bCs w:val="false"/>
          <w:color w:val="1F2937"/>
          <w:sz w:val="18"/>
          <w:szCs w:val="18"/>
          <w:shd w:fill="F1F3F5" w:color="auto" w:val="clear"/>
          <w:rtl/>
        </w:rPr>
        <w:t xml:space="preserve">‎fin.v_CreditEarlyWarnings‎</w:t>
      </w:r>
      <w:r>
        <w:rPr>
          <w:rFonts w:ascii="Arial" w:cs="Arial" w:eastAsia="Arial" w:hAnsi="Arial"/>
          <w:b w:val="false"/>
          <w:bCs w:val="false"/>
          <w:sz w:val="21"/>
          <w:szCs w:val="21"/>
          <w:rtl/>
        </w:rPr>
        <w:t xml:space="preserve">)، وتقرؤه مهمة الإشعارات في التطبيق.</w:t>
      </w:r>
    </w:p>
    <w:p>
      <w:pPr>
        <w:bidi/>
        <w:spacing w:after="60" w:before="0"/>
      </w:pPr>
    </w:p>
    <w:p>
      <w:pPr>
        <w:pStyle w:val="Heading2"/>
        <w:bidi/>
      </w:pPr>
      <w:bookmarkStart w:name="_sec50" w:id="50"/>
      <w:r>
        <w:rPr>
          <w:rFonts w:ascii="Arial" w:cs="Arial" w:eastAsia="Arial" w:hAnsi="Arial"/>
          <w:b/>
          <w:bCs/>
          <w:color w:val="2B5C8A"/>
          <w:sz w:val="26"/>
          <w:szCs w:val="26"/>
          <w:rtl/>
        </w:rPr>
        <w:t xml:space="preserve">15.3 تقييم القوائم التقديرية (الموازنة) قبل تنفيذ الخطة (ADR 0025)</w:t>
      </w:r>
      <w:bookmarkEnd w:id="50"/>
    </w:p>
    <w:p>
      <w:pPr>
        <w:bidi/>
        <w:spacing w:after="110" w:before="0" w:line="312"/>
      </w:pPr>
      <w:r>
        <w:rPr>
          <w:rFonts w:ascii="Arial" w:cs="Arial" w:eastAsia="Arial" w:hAnsi="Arial"/>
          <w:b w:val="false"/>
          <w:bCs w:val="false"/>
          <w:sz w:val="21"/>
          <w:szCs w:val="21"/>
          <w:rtl/>
        </w:rPr>
        <w:t xml:space="preserve">تُدخل الشركة قوائم السنة القادمة المقدّرة قائمةً </w:t>
      </w:r>
      <w:r>
        <w:rPr>
          <w:rFonts w:ascii="Arial" w:cs="Arial" w:eastAsia="Arial" w:hAnsi="Arial"/>
          <w:b/>
          <w:bCs/>
          <w:sz w:val="21"/>
          <w:szCs w:val="21"/>
          <w:rtl/>
        </w:rPr>
        <w:t xml:space="preserve">بطبيعة «موازنة»</w:t>
      </w:r>
      <w:r>
        <w:rPr>
          <w:rFonts w:ascii="Arial" w:cs="Arial" w:eastAsia="Arial" w:hAnsi="Arial"/>
          <w:b w:val="false"/>
          <w:bCs w:val="false"/>
          <w:sz w:val="21"/>
          <w:szCs w:val="21"/>
          <w:rtl/>
        </w:rPr>
        <w:t xml:space="preserve">: موازنة، أو خطة توسع، أو تمويلًا جديدًا. وتعمل بالقواعد الآتية:</w:t>
      </w:r>
    </w:p>
    <w:p>
      <w:pPr>
        <w:pStyle w:val="ListParagraph"/>
        <w:numPr>
          <w:ilvl w:val="0"/>
          <w:numId w:val="3"/>
        </w:numPr>
        <w:bidi/>
        <w:spacing w:after="70" w:before="0" w:line="300"/>
      </w:pPr>
      <w:r>
        <w:rPr>
          <w:rFonts w:ascii="Arial" w:cs="Arial" w:eastAsia="Arial" w:hAnsi="Arial"/>
          <w:b/>
          <w:bCs/>
          <w:sz w:val="21"/>
          <w:szCs w:val="21"/>
          <w:rtl/>
        </w:rPr>
        <w:t xml:space="preserve">إعداد الإدارة، وتبقى مسودة:</w:t>
      </w:r>
      <w:r>
        <w:rPr>
          <w:rFonts w:ascii="Arial" w:cs="Arial" w:eastAsia="Arial" w:hAnsi="Arial"/>
          <w:b w:val="false"/>
          <w:bCs w:val="false"/>
          <w:sz w:val="21"/>
          <w:szCs w:val="21"/>
          <w:rtl/>
        </w:rPr>
        <w:t xml:space="preserve"> لا رأي مراجع لها، ولا تُقدَّم ولا تُعتمد. فلا تدخل في اختبار تعهد، ولا في التوحيد، ولا في التحويلات، ولا تكون قائمة مقارنة.</w:t>
      </w:r>
    </w:p>
    <w:p>
      <w:pPr>
        <w:pStyle w:val="ListParagraph"/>
        <w:numPr>
          <w:ilvl w:val="0"/>
          <w:numId w:val="3"/>
        </w:numPr>
        <w:bidi/>
        <w:spacing w:after="70" w:before="0" w:line="300"/>
      </w:pPr>
      <w:r>
        <w:rPr>
          <w:rFonts w:ascii="Arial" w:cs="Arial" w:eastAsia="Arial" w:hAnsi="Arial"/>
          <w:b/>
          <w:bCs/>
          <w:sz w:val="21"/>
          <w:szCs w:val="21"/>
          <w:rtl/>
        </w:rPr>
        <w:t xml:space="preserve">سلسلة إصدارات منفصلة:</w:t>
      </w:r>
      <w:r>
        <w:rPr>
          <w:rFonts w:ascii="Arial" w:cs="Arial" w:eastAsia="Arial" w:hAnsi="Arial"/>
          <w:b w:val="false"/>
          <w:bCs w:val="false"/>
          <w:sz w:val="21"/>
          <w:szCs w:val="21"/>
          <w:rtl/>
        </w:rPr>
        <w:t xml:space="preserve"> موازنة 2026 لا تتعارض مع القائمة الفعلية لعام 2026 حين تُدخل لاحقًا.</w:t>
      </w:r>
    </w:p>
    <w:p>
      <w:pPr>
        <w:pStyle w:val="ListParagraph"/>
        <w:numPr>
          <w:ilvl w:val="0"/>
          <w:numId w:val="3"/>
        </w:numPr>
        <w:bidi/>
        <w:spacing w:after="70" w:before="0" w:line="300"/>
      </w:pPr>
      <w:r>
        <w:rPr>
          <w:rFonts w:ascii="Arial" w:cs="Arial" w:eastAsia="Arial" w:hAnsi="Arial"/>
          <w:b/>
          <w:bCs/>
          <w:sz w:val="21"/>
          <w:szCs w:val="21"/>
          <w:rtl/>
        </w:rPr>
        <w:t xml:space="preserve">تقييم تجريبي فقط</w:t>
      </w:r>
      <w:r>
        <w:rPr>
          <w:rFonts w:ascii="Arial" w:cs="Arial" w:eastAsia="Arial" w:hAnsi="Arial"/>
          <w:b w:val="false"/>
          <w:bCs w:val="false"/>
          <w:sz w:val="21"/>
          <w:szCs w:val="21"/>
          <w:rtl/>
        </w:rPr>
        <w:t xml:space="preserve">، وقائمة المقارنة فيه قائمة فعلية معتمدة، ويذكر الملخص أنه لموازنة. وتُقرأ بمستوى تأكيد قائمة المقارنة ورأي مراجعها، لأن الموازنة إعداد الإدارة بطبيعتها، ولولا ذلك لظهرت في كل موازنة درجة القائمة السنوية غير المدققة فغطّت أثر الخطة نفسها.</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الموازنة بجانب آخر تقييم لقائمة فعلية سابقة: الدرجة والمجموع والسيولة والنظرة والمخاطر الحرجة، وكم درجة تكسب الخطة أو تخسر، وكل مقياس بجانب نظيره (</w:t>
      </w:r>
      <w:r>
        <w:rPr>
          <w:rFonts w:ascii="Courier New" w:cs="Courier New" w:eastAsia="Courier New" w:hAnsi="Courier New"/>
          <w:b w:val="false"/>
          <w:bCs w:val="false"/>
          <w:color w:val="1F2937"/>
          <w:sz w:val="18"/>
          <w:szCs w:val="18"/>
          <w:shd w:fill="F1F3F5" w:color="auto" w:val="clear"/>
          <w:rtl/>
        </w:rPr>
        <w:t xml:space="preserve">‎fin.v_BudgetComparison‎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‎fin.v_BudgetFactorComparison‎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بدائل الخطة:</w:t>
      </w:r>
      <w:r>
        <w:rPr>
          <w:rFonts w:ascii="Arial" w:cs="Arial" w:eastAsia="Arial" w:hAnsi="Arial"/>
          <w:b w:val="false"/>
          <w:bCs w:val="false"/>
          <w:sz w:val="21"/>
          <w:szCs w:val="21"/>
          <w:rtl/>
        </w:rPr>
        <w:t xml:space="preserve"> قرض أم رأس مال، وأجل قصير أم طويل، تُبنى نسخَ عرض للموازنة (§15.1)، ويُقارن بينها.</w:t>
      </w:r>
    </w:p>
    <w:p>
      <w:pPr>
        <w:pStyle w:val="ListParagraph"/>
        <w:numPr>
          <w:ilvl w:val="0"/>
          <w:numId w:val="3"/>
        </w:numPr>
        <w:bidi/>
        <w:spacing w:after="70" w:before="0" w:line="300"/>
      </w:pPr>
      <w:r>
        <w:rPr>
          <w:rFonts w:ascii="Arial" w:cs="Arial" w:eastAsia="Arial" w:hAnsi="Arial"/>
          <w:b/>
          <w:bCs/>
          <w:sz w:val="21"/>
          <w:szCs w:val="21"/>
          <w:rtl/>
        </w:rPr>
        <w:t xml:space="preserve">لا إنذار مبكر من الموازنة</w:t>
      </w:r>
      <w:r>
        <w:rPr>
          <w:rFonts w:ascii="Arial" w:cs="Arial" w:eastAsia="Arial" w:hAnsi="Arial"/>
          <w:b w:val="false"/>
          <w:bCs w:val="false"/>
          <w:sz w:val="21"/>
          <w:szCs w:val="21"/>
          <w:rtl/>
        </w:rPr>
        <w:t xml:space="preserve">، لأنها تنظر إلى ما بعد المواعيد ولا تخبر عنها.</w:t>
      </w:r>
    </w:p>
    <w:p>
      <w:pPr>
        <w:bidi/>
        <w:spacing w:after="60" w:before="0"/>
      </w:pPr>
    </w:p>
    <w:p>
      <w:pPr>
        <w:pStyle w:val="Heading1"/>
        <w:bidi/>
      </w:pPr>
      <w:bookmarkStart w:name="_sec51" w:id="51"/>
      <w:r>
        <w:rPr>
          <w:rFonts w:ascii="Arial" w:cs="Arial" w:eastAsia="Arial" w:hAnsi="Arial"/>
          <w:b/>
          <w:bCs/>
          <w:color w:val="1F3A5F"/>
          <w:sz w:val="32"/>
          <w:szCs w:val="32"/>
          <w:rtl/>
        </w:rPr>
        <w:t xml:space="preserve">16. النظرة المستقبلية ومحفزات الدرجة</w:t>
      </w:r>
      <w:bookmarkEnd w:id="51"/>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52" w:id="52"/>
      <w:r>
        <w:rPr>
          <w:rFonts w:ascii="Arial" w:cs="Arial" w:eastAsia="Arial" w:hAnsi="Arial"/>
          <w:b/>
          <w:bCs/>
          <w:color w:val="1F3A5F"/>
          <w:sz w:val="32"/>
          <w:szCs w:val="32"/>
          <w:rtl/>
        </w:rPr>
        <w:t xml:space="preserve">17. اكتمال البيانات وما يطلبه التقرير</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3" w:id="53"/>
      <w:r>
        <w:rPr>
          <w:rFonts w:ascii="Arial" w:cs="Arial" w:eastAsia="Arial" w:hAnsi="Arial"/>
          <w:b/>
          <w:bCs/>
          <w:color w:val="1F3A5F"/>
          <w:sz w:val="32"/>
          <w:szCs w:val="32"/>
          <w:rtl/>
        </w:rPr>
        <w:t xml:space="preserve">18. التقرير</w:t>
      </w:r>
      <w:bookmarkEnd w:id="53"/>
    </w:p>
    <w:p>
      <w:pPr>
        <w:bidi/>
        <w:spacing w:after="110" w:before="0" w:line="312"/>
      </w:pPr>
      <w:r>
        <w:rPr>
          <w:rFonts w:ascii="Arial" w:cs="Arial" w:eastAsia="Arial" w:hAnsi="Arial"/>
          <w:b w:val="false"/>
          <w:bCs w:val="false"/>
          <w:sz w:val="21"/>
          <w:szCs w:val="21"/>
          <w:rtl/>
        </w:rPr>
        <w:t xml:space="preserve">يُقرأ التقرير من سؤال الشركة: </w:t>
      </w:r>
      <w:r>
        <w:rPr>
          <w:rFonts w:ascii="Arial" w:cs="Arial" w:eastAsia="Arial" w:hAnsi="Arial"/>
          <w:b/>
          <w:bCs/>
          <w:sz w:val="21"/>
          <w:szCs w:val="21"/>
          <w:rtl/>
        </w:rPr>
        <w:t xml:space="preserve">ماذا سيرى البنك، وماذا نفعل قبله؟</w:t>
      </w:r>
      <w:r>
        <w:rPr>
          <w:rFonts w:ascii="Arial" w:cs="Arial" w:eastAsia="Arial" w:hAnsi="Arial"/>
          <w:b w:val="false"/>
          <w:bCs w:val="false"/>
          <w:sz w:val="21"/>
          <w:szCs w:val="21"/>
          <w:rtl/>
        </w:rPr>
        <w:t xml:space="preserve"> فتبدأ قراءته بالدرجة المتوقعة والسيولة والنظرة، ثم أهم نقاط الضعف والمخاطر، ثم الحلول وخطط التقوية بترتيب أثرها، ثم البيانات التي ستطلبها جهة التمويل. والتقييم التجريبي يحمل في ملخصه أنه على قائمة لم تُعتمد نهائيًا.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19. مثال محسوب</w:t>
      </w:r>
      <w:bookmarkEnd w:id="54"/>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معدّ التقييم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6"/>
        <w:gridCol w:w="1409"/>
        <w:gridCol w:w="1409"/>
        <w:gridCol w:w="1207"/>
        <w:gridCol w:w="1006"/>
        <w:gridCol w:w="1207"/>
        <w:gridCol w:w="1610"/>
      </w:tblGrid>
      <w:tr>
        <w:trPr>
          <w:cantSplit/>
          <w:tblHeader/>
        </w:trPr>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20. الحوكمة والتحقق قبل الاستعمال</w:t>
      </w:r>
      <w:bookmarkEnd w:id="55"/>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اعتماد خطة الشركة أو تقديم قوائمها.</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6" w:id="56"/>
      <w:r>
        <w:rPr>
          <w:rFonts w:ascii="Arial" w:cs="Arial" w:eastAsia="Arial" w:hAnsi="Arial"/>
          <w:b/>
          <w:bCs/>
          <w:color w:val="1F3A5F"/>
          <w:sz w:val="32"/>
          <w:szCs w:val="32"/>
          <w:rtl/>
        </w:rPr>
        <w:t xml:space="preserve">21. التحقق من التنفيذ</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20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22. المراجعة المستقلة</w:t>
      </w:r>
      <w:bookmarkEnd w:id="57"/>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23. الوثائق التي أرفقها المالك في 2026-10-19</w:t>
      </w:r>
      <w:bookmarkEnd w:id="58"/>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59" w:id="59"/>
      <w:r>
        <w:rPr>
          <w:rFonts w:ascii="Arial" w:cs="Arial" w:eastAsia="Arial" w:hAnsi="Arial"/>
          <w:b/>
          <w:bCs/>
          <w:color w:val="1F3A5F"/>
          <w:sz w:val="32"/>
          <w:szCs w:val="32"/>
          <w:rtl/>
        </w:rPr>
        <w:t xml:space="preserve">24. قرارات المالك والأسئلة الباقية</w:t>
      </w:r>
      <w:bookmarkEnd w:id="59"/>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60" w:id="60"/>
      <w:r>
        <w:rPr>
          <w:rFonts w:ascii="Arial" w:cs="Arial" w:eastAsia="Arial" w:hAnsi="Arial"/>
          <w:b/>
          <w:bCs/>
          <w:color w:val="1F3A5F"/>
          <w:sz w:val="32"/>
          <w:szCs w:val="32"/>
          <w:rtl/>
        </w:rPr>
        <w:t xml:space="preserve">25. حدود معروفة</w:t>
      </w:r>
      <w:bookmarkEnd w:id="60"/>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61" w:id="61"/>
      <w:r>
        <w:rPr>
          <w:rFonts w:ascii="Arial" w:cs="Arial" w:eastAsia="Arial" w:hAnsi="Arial"/>
          <w:b/>
          <w:bCs/>
          <w:color w:val="1F3A5F"/>
          <w:sz w:val="32"/>
          <w:szCs w:val="32"/>
          <w:rtl/>
        </w:rPr>
        <w:t xml:space="preserve">26. المراجع</w:t>
      </w:r>
      <w:bookmarkEnd w:id="61"/>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2026-10-20T10:37:19.401Z</dcterms:created>
  <dcterms:modified xsi:type="dcterms:W3CDTF">2026-10-20T10:37:19.406Z</dcterms:modified>
</cp:coreProperties>
</file>

<file path=docProps/custom.xml><?xml version="1.0" encoding="utf-8"?>
<Properties xmlns="http://schemas.openxmlformats.org/officeDocument/2006/custom-properties" xmlns:vt="http://schemas.openxmlformats.org/officeDocument/2006/docPropsVTypes"/>
</file>