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Phiếu khảo sát học sinh</w:t>
      </w:r>
    </w:p>
    <w:p>
      <w:pPr>
        <w:jc w:val="both"/>
        <w:ind w:firstLine="720"/>
        <w:spacing w:line="360" w:lineRule="auto" w:before="120" w:after="120"/>
      </w:pPr>
      <w:r>
        <w:t xml:space="preserve">Phụ lục này được xây dựng nhằm thu thập dữ liệu khách quan minh chứng cho đề tài 'Một số giải pháp nâng cao chất lượng công tác kiểm tra nội bộ trong quản lý hoạt động nuôi dưỡng, chăm sóc và giáo dục trẻ tại trường mầm non' được triển khai tại TRƯỜNG MẦM NON HOẠ MI. Phiếu được dùng để khảo sát 35 cán bộ, giáo viên và nhân viên nhà trường vào thời điểm cuối năm học 2025 - 2026 sau khi áp dụng chu trình PDSA vào công tác quản lý. Dữ liệu trong phụ lục phục vụ cho việc đánh giá hiệu quả của các giải pháp đã đề xuất.</w:t>
      </w:r>
    </w:p>
    <w:p>
      <w:pPr>
        <w:pStyle w:val="Heading3"/>
        <w:jc w:val="left"/>
        <w:spacing w:before="240" w:after="120" w:line="360" w:lineRule="auto"/>
      </w:pPr>
      <w:r>
        <w:t xml:space="preserve">I. THÔNG TIN CHUNG</w:t>
      </w:r>
    </w:p>
    <w:p>
      <w:pPr>
        <w:jc w:val="both"/>
        <w:tabs>
          <w:tab w:val="left" w:pos="720"/>
        </w:tabs>
        <w:ind w:left="720" w:hanging="360"/>
        <w:spacing w:after="60"/>
      </w:pPr>
      <w:r>
        <w:t xml:space="preserve">• </w:t>
        <w:tab/>
      </w:r>
      <w:r>
        <w:rPr>
          <w:b/>
        </w:rPr>
        <w:t xml:space="preserve">Họ và tên cán bộ, giáo viên, nhân viên</w:t>
      </w:r>
      <w:r>
        <w:t xml:space="preserve">: ........................................................................</w:t>
      </w:r>
    </w:p>
    <w:p>
      <w:pPr>
        <w:jc w:val="both"/>
        <w:tabs>
          <w:tab w:val="left" w:pos="720"/>
        </w:tabs>
        <w:ind w:left="720" w:hanging="360"/>
        <w:spacing w:after="60"/>
      </w:pPr>
      <w:r>
        <w:t xml:space="preserve">• </w:t>
        <w:tab/>
      </w:r>
      <w:r>
        <w:rPr>
          <w:b/>
        </w:rPr>
        <w:t xml:space="preserve">Chức vụ và nhiệm vụ được phân công</w:t>
      </w:r>
      <w:r>
        <w:t xml:space="preserve">: ........................................................................</w:t>
      </w:r>
    </w:p>
    <w:p>
      <w:pPr>
        <w:jc w:val="both"/>
        <w:tabs>
          <w:tab w:val="left" w:pos="720"/>
        </w:tabs>
        <w:ind w:left="720" w:hanging="360"/>
        <w:spacing w:after="60"/>
      </w:pPr>
      <w:r>
        <w:t xml:space="preserve">• </w:t>
        <w:tab/>
      </w:r>
      <w:r>
        <w:rPr>
          <w:b/>
        </w:rPr>
        <w:t xml:space="preserve">Số năm công tác trong ngành</w:t>
      </w:r>
      <w:r>
        <w:t xml:space="preserve">: ........................................................................</w:t>
      </w:r>
    </w:p>
    <w:p>
      <w:pPr>
        <w:pStyle w:val="Heading3"/>
        <w:jc w:val="left"/>
        <w:spacing w:before="240" w:after="120" w:line="360" w:lineRule="auto"/>
      </w:pPr>
      <w:r>
        <w:t xml:space="preserve">II. NỘI DUNG CHI TIẾT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1460"/>
        <w:gridCol w:w="1460"/>
        <w:gridCol w:w="1460"/>
        <w:gridCol w:w="1460"/>
        <w:gridCol w:w="1460"/>
        <w:gridCol w:w="1460"/>
      </w:tblGrid>
      <w:tr>
        <w:tc>
          <w:tcPr>
            <w:tcW w:w="600" w:type="dxa"/>
            <w:shd w:val="clear" w:color="auto" w:fill="D5E8F0"/>
          </w:tcPr>
          <w:p>
            <w:pPr>
              <w:jc w:val="center"/>
            </w:pPr>
            <w:r>
              <w:rPr>
                <w:b/>
              </w:rPr>
              <w:t xml:space="preserve">STT</w:t>
            </w:r>
          </w:p>
        </w:tc>
        <w:tc>
          <w:tcPr>
            <w:tcW w:w="1460" w:type="dxa"/>
            <w:shd w:val="clear" w:color="auto" w:fill="D5E8F0"/>
          </w:tcPr>
          <w:p>
            <w:pPr>
              <w:jc w:val="center"/>
            </w:pPr>
            <w:r>
              <w:rPr>
                <w:b/>
              </w:rPr>
              <w:t xml:space="preserve">Nội dung khảo sát</w:t>
            </w:r>
          </w:p>
        </w:tc>
        <w:tc>
          <w:tcPr>
            <w:tcW w:w="1460" w:type="dxa"/>
            <w:shd w:val="clear" w:color="auto" w:fill="D5E8F0"/>
          </w:tcPr>
          <w:p>
            <w:pPr>
              <w:jc w:val="center"/>
            </w:pPr>
            <w:r>
              <w:rPr>
                <w:b/>
              </w:rPr>
              <w:t xml:space="preserve">Mức 1</w:t>
            </w:r>
          </w:p>
        </w:tc>
        <w:tc>
          <w:tcPr>
            <w:tcW w:w="1460" w:type="dxa"/>
            <w:shd w:val="clear" w:color="auto" w:fill="D5E8F0"/>
          </w:tcPr>
          <w:p>
            <w:pPr>
              <w:jc w:val="center"/>
            </w:pPr>
            <w:r>
              <w:rPr>
                <w:b/>
              </w:rPr>
              <w:t xml:space="preserve">Mức 2</w:t>
            </w:r>
          </w:p>
        </w:tc>
        <w:tc>
          <w:tcPr>
            <w:tcW w:w="1460" w:type="dxa"/>
            <w:shd w:val="clear" w:color="auto" w:fill="D5E8F0"/>
          </w:tcPr>
          <w:p>
            <w:pPr>
              <w:jc w:val="center"/>
            </w:pPr>
            <w:r>
              <w:rPr>
                <w:b/>
              </w:rPr>
              <w:t xml:space="preserve">Mức 3</w:t>
            </w:r>
          </w:p>
        </w:tc>
        <w:tc>
          <w:tcPr>
            <w:tcW w:w="1460" w:type="dxa"/>
            <w:shd w:val="clear" w:color="auto" w:fill="D5E8F0"/>
          </w:tcPr>
          <w:p>
            <w:pPr>
              <w:jc w:val="center"/>
            </w:pPr>
            <w:r>
              <w:rPr>
                <w:b/>
              </w:rPr>
              <w:t xml:space="preserve">Mức 4</w:t>
            </w:r>
          </w:p>
        </w:tc>
        <w:tc>
          <w:tcPr>
            <w:tcW w:w="1460" w:type="dxa"/>
            <w:shd w:val="clear" w:color="auto" w:fill="D5E8F0"/>
          </w:tcPr>
          <w:p>
            <w:pPr>
              <w:jc w:val="center"/>
            </w:pPr>
            <w:r>
              <w:rPr>
                <w:b/>
              </w:rPr>
              <w:t xml:space="preserve">Mức 5</w:t>
            </w:r>
          </w:p>
        </w:tc>
      </w:tr>
      <w:tr>
        <w:tc>
          <w:tcPr>
            <w:tcW w:w="600" w:type="dxa"/>
          </w:tcPr>
          <w:p>
            <w:pPr>
              <w:jc w:val="center"/>
            </w:pPr>
            <w:r>
              <w:t xml:space="preserve">1</w:t>
            </w:r>
          </w:p>
        </w:tc>
        <w:tc>
          <w:tcPr>
            <w:tcW w:w="1460" w:type="dxa"/>
          </w:tcPr>
          <w:p>
            <w:pPr>
              <w:jc w:val="center"/>
            </w:pPr>
            <w:r>
              <w:rPr>
                <w:b/>
              </w:rPr>
              <w:t xml:space="preserve">Giáo viên chủ động thực hiện các biện pháp khắc phục sai sót và điều chỉnh hoạt động sư phạm ngay sau khi nhận được phản hồi từ Ban kiểm tra nội bộ.</w:t>
            </w:r>
            <w:r>
              <w:t xml:space="preserve">&lt;br&gt;</w:t>
            </w:r>
            <w:r>
              <w:rPr>
                <w:i/>
              </w:rPr>
              <w:t xml:space="preserve">(🔗 Nguồn: Mức độ chỉ số khác chung)</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r>
      <w:tr>
        <w:tc>
          <w:tcPr>
            <w:tcW w:w="600" w:type="dxa"/>
          </w:tcPr>
          <w:p>
            <w:pPr>
              <w:jc w:val="center"/>
            </w:pPr>
            <w:r>
              <w:t xml:space="preserve">2</w:t>
            </w:r>
          </w:p>
        </w:tc>
        <w:tc>
          <w:tcPr>
            <w:tcW w:w="1460" w:type="dxa"/>
          </w:tcPr>
          <w:p>
            <w:pPr>
              <w:jc w:val="center"/>
            </w:pPr>
            <w:r>
              <w:rPr>
                <w:b/>
              </w:rPr>
              <w:t xml:space="preserve">Thành viên Ban kiểm tra thực hiện đánh giá các hoạt động nuôi dưỡng và giáo dục dựa trên bộ tiêu chí định lượng cụ thể, đảm bảo tính khách quan và không nể nang.</w:t>
            </w:r>
            <w:r>
              <w:t xml:space="preserve">&lt;br&gt;</w:t>
            </w:r>
            <w:r>
              <w:rPr>
                <w:i/>
              </w:rPr>
              <w:t xml:space="preserve">(🔗 Nguồn: Mức độ kết quả học tập (điểm số) chung)</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r>
      <w:tr>
        <w:tc>
          <w:tcPr>
            <w:tcW w:w="600" w:type="dxa"/>
          </w:tcPr>
          <w:p>
            <w:pPr>
              <w:jc w:val="center"/>
            </w:pPr>
            <w:r>
              <w:t xml:space="preserve">3</w:t>
            </w:r>
          </w:p>
        </w:tc>
        <w:tc>
          <w:tcPr>
            <w:tcW w:w="1460" w:type="dxa"/>
          </w:tcPr>
          <w:p>
            <w:pPr>
              <w:jc w:val="center"/>
            </w:pPr>
            <w:r>
              <w:rPr>
                <w:b/>
              </w:rPr>
              <w:t xml:space="preserve">Việc ứng dụng mã QR và các biểu mẫu trực tuyến giúp tôi tiết kiệm thời gian trong việc lưu trữ, truy xuất hồ sơ minh chứng và giảm bớt áp lực sổ sách giấy tờ.</w:t>
            </w:r>
            <w:r>
              <w:t xml:space="preserve">&lt;br&gt;</w:t>
            </w:r>
            <w:r>
              <w:rPr>
                <w:i/>
              </w:rPr>
              <w:t xml:space="preserve">(🔗 Nguồn: Mức độ chỉ số khác chung)</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r>
      <w:tr>
        <w:tc>
          <w:tcPr>
            <w:tcW w:w="600" w:type="dxa"/>
          </w:tcPr>
          <w:p>
            <w:pPr>
              <w:jc w:val="center"/>
            </w:pPr>
            <w:r>
              <w:t xml:space="preserve">4</w:t>
            </w:r>
          </w:p>
        </w:tc>
        <w:tc>
          <w:tcPr>
            <w:tcW w:w="1460" w:type="dxa"/>
          </w:tcPr>
          <w:p>
            <w:pPr>
              <w:jc w:val="center"/>
            </w:pPr>
            <w:r>
              <w:rPr>
                <w:b/>
              </w:rPr>
              <w:t xml:space="preserve">Quy trình chế biến và chiết tính khẩu phần ăn cho trẻ tại bếp ăn được thực hiện nghiêm túc, đảm bảo cân đối dinh dưỡng trong định mức kinh phí 28.000đ/ngày.</w:t>
            </w:r>
            <w:r>
              <w:t xml:space="preserve">&lt;br&gt;</w:t>
            </w:r>
            <w:r>
              <w:rPr>
                <w:i/>
              </w:rPr>
              <w:t xml:space="preserve">(🔗 Nguồn: Mức độ chỉ số khác chung)</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r>
    </w:tbl>
    <w:p>
      <w:r>
        <w:br w:type="page"/>
      </w:r>
    </w:p>
    <w:p>
      <w:pPr>
        <w:jc w:val="both"/>
        <w:ind w:firstLine="720"/>
        <w:spacing w:line="360" w:lineRule="auto" w:before="120" w:after="120"/>
      </w:pPr>
      <w:r>
        <w:rPr>
          <w:i/>
        </w:rPr>
        <w:t xml:space="preserve">Kết quả thu thập từ phụ lục này là cơ sở thực tiễn quan trọng để tôi đối chiếu, phân tích và khẳng định tính khả thi, hiệu quả của các giải pháp quản lý đã trình bày trong Báo cáo Sáng kiến kinh nghiệm.</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