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PHIẾU KHẢO SÁT Ý KIẾN GIÁO VIÊN VỀ HIỆU QUẢ CỦA CÁC GIÁI PHÁP NÂNG CAO CHẤT LƯỢNG KIỂM TRA NỘI BỘ</w:t>
      </w:r>
    </w:p>
    <w:p>
      <w:pPr>
        <w:jc w:val="both"/>
        <w:ind w:firstLine="720"/>
        <w:spacing w:line="360" w:lineRule="auto" w:before="120" w:after="120"/>
      </w:pPr>
      <w:r>
        <w:t xml:space="preserve">Để đánh giá một cách khách quan và thực chất hiệu quả của các giải pháp mà tôi đã triển khai trong công tác kiểm tra nội bộ tại Trường Mầm non Họa Mi năm học 2025 - 2026, tôi tiến hành lấy ý kiến phản hồi từ đội ngũ giáo viên trực tiếp giảng dạy. Những thông tin này là cơ sở quan trọng để tôi tiếp tục điều chỉnh, hoàn thiện quy trình quản lý, nhằm mục tiêu cuối cùng là nâng cao chất lượng nuôi dưỡng, chăm sóc và giáo dục trẻ.</w:t>
      </w:r>
    </w:p>
    <w:p>
      <w:pPr>
        <w:jc w:val="both"/>
        <w:ind w:firstLine="720"/>
        <w:spacing w:line="360" w:lineRule="auto" w:before="120" w:after="120"/>
      </w:pPr>
      <w:r>
        <w:rPr>
          <w:b/>
        </w:rPr>
        <w:t xml:space="preserve">1. THÔNG TIN CHUNG</w:t>
      </w:r>
    </w:p>
    <w:p>
      <w:pPr>
        <w:jc w:val="both"/>
        <w:tabs>
          <w:tab w:val="left" w:pos="720"/>
        </w:tabs>
        <w:ind w:left="720" w:hanging="360"/>
        <w:spacing w:after="60"/>
      </w:pPr>
      <w:r>
        <w:t xml:space="preserve">• </w:t>
        <w:tab/>
      </w:r>
      <w:r>
        <w:t xml:space="preserve">Đối tượng khảo sát: Giáo viên các nhóm, lớp.</w:t>
      </w:r>
    </w:p>
    <w:p>
      <w:pPr>
        <w:jc w:val="both"/>
        <w:tabs>
          <w:tab w:val="left" w:pos="720"/>
        </w:tabs>
        <w:ind w:left="720" w:hanging="360"/>
        <w:spacing w:after="60"/>
      </w:pPr>
      <w:r>
        <w:t xml:space="preserve">• </w:t>
        <w:tab/>
      </w:r>
      <w:r>
        <w:t xml:space="preserve">Đơn vị: Trường Mầm non Họa Mi.</w:t>
      </w:r>
    </w:p>
    <w:p>
      <w:pPr>
        <w:jc w:val="both"/>
        <w:tabs>
          <w:tab w:val="left" w:pos="720"/>
        </w:tabs>
        <w:ind w:left="720" w:hanging="360"/>
        <w:spacing w:after="60"/>
      </w:pPr>
      <w:r>
        <w:t xml:space="preserve">• </w:t>
        <w:tab/>
      </w:r>
      <w:r>
        <w:t xml:space="preserve">Hình thức: Đánh giá theo các mức độ từ 1 đến 5 (1: Rất không đồng ý/Không hiệu quả; 2: Không đồng ý/Ít hiệu quả; 3: Phân vân/Trung bình; 4: Đồng ý/Hiệu quả; 5: Rất đồng ý/Rất hiệu quả).</w:t>
      </w:r>
    </w:p>
    <w:p>
      <w:pPr>
        <w:jc w:val="both"/>
        <w:ind w:firstLine="720"/>
        <w:spacing w:line="360" w:lineRule="auto" w:before="120" w:after="120"/>
      </w:pPr>
      <w:r>
        <w:rPr>
          <w:b/>
        </w:rPr>
        <w:t xml:space="preserve">2. NỘI DUNG KHẢO SÁT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00"/>
        <w:gridCol w:w="1460"/>
        <w:gridCol w:w="1460"/>
        <w:gridCol w:w="1460"/>
        <w:gridCol w:w="1460"/>
        <w:gridCol w:w="1460"/>
        <w:gridCol w:w="1460"/>
      </w:tblGrid>
      <w:tr>
        <w:tc>
          <w:tcPr>
            <w:tcW w:w="600" w:type="dxa"/>
            <w:shd w:val="clear" w:color="auto" w:fill="D5E8F0"/>
          </w:tcPr>
          <w:p>
            <w:pPr>
              <w:jc w:val="center"/>
            </w:pPr>
            <w:r>
              <w:rPr>
                <w:b/>
              </w:rPr>
              <w:t xml:space="preserve">STT</w:t>
            </w:r>
          </w:p>
        </w:tc>
        <w:tc>
          <w:tcPr>
            <w:tcW w:w="1460" w:type="dxa"/>
            <w:shd w:val="clear" w:color="auto" w:fill="D5E8F0"/>
          </w:tcPr>
          <w:p>
            <w:pPr>
              <w:jc w:val="center"/>
            </w:pPr>
            <w:r>
              <w:rPr>
                <w:b/>
              </w:rPr>
              <w:t xml:space="preserve">Nội dung đánh giá</w:t>
            </w:r>
          </w:p>
        </w:tc>
        <w:tc>
          <w:tcPr>
            <w:tcW w:w="1460" w:type="dxa"/>
            <w:shd w:val="clear" w:color="auto" w:fill="D5E8F0"/>
          </w:tcPr>
          <w:p>
            <w:pPr>
              <w:jc w:val="center"/>
            </w:pPr>
            <w:r>
              <w:rPr>
                <w:b/>
              </w:rPr>
              <w:t xml:space="preserve">Mức độ 1</w:t>
            </w:r>
          </w:p>
        </w:tc>
        <w:tc>
          <w:tcPr>
            <w:tcW w:w="1460" w:type="dxa"/>
            <w:shd w:val="clear" w:color="auto" w:fill="D5E8F0"/>
          </w:tcPr>
          <w:p>
            <w:pPr>
              <w:jc w:val="center"/>
            </w:pPr>
            <w:r>
              <w:rPr>
                <w:b/>
              </w:rPr>
              <w:t xml:space="preserve">Mức độ 2</w:t>
            </w:r>
          </w:p>
        </w:tc>
        <w:tc>
          <w:tcPr>
            <w:tcW w:w="1460" w:type="dxa"/>
            <w:shd w:val="clear" w:color="auto" w:fill="D5E8F0"/>
          </w:tcPr>
          <w:p>
            <w:pPr>
              <w:jc w:val="center"/>
            </w:pPr>
            <w:r>
              <w:rPr>
                <w:b/>
              </w:rPr>
              <w:t xml:space="preserve">Mức độ 3</w:t>
            </w:r>
          </w:p>
        </w:tc>
        <w:tc>
          <w:tcPr>
            <w:tcW w:w="1460" w:type="dxa"/>
            <w:shd w:val="clear" w:color="auto" w:fill="D5E8F0"/>
          </w:tcPr>
          <w:p>
            <w:pPr>
              <w:jc w:val="center"/>
            </w:pPr>
            <w:r>
              <w:rPr>
                <w:b/>
              </w:rPr>
              <w:t xml:space="preserve">Mức độ 4</w:t>
            </w:r>
          </w:p>
        </w:tc>
        <w:tc>
          <w:tcPr>
            <w:tcW w:w="1460" w:type="dxa"/>
            <w:shd w:val="clear" w:color="auto" w:fill="D5E8F0"/>
          </w:tcPr>
          <w:p>
            <w:pPr>
              <w:jc w:val="center"/>
            </w:pPr>
            <w:r>
              <w:rPr>
                <w:b/>
              </w:rPr>
              <w:t xml:space="preserve">Mức độ 5</w:t>
            </w:r>
          </w:p>
        </w:tc>
      </w:tr>
      <w:tr>
        <w:tc>
          <w:tcPr>
            <w:tcW w:w="600" w:type="dxa"/>
          </w:tcPr>
          <w:p>
            <w:pPr>
              <w:jc w:val="center"/>
            </w:pPr>
            <w:r>
              <w:t xml:space="preserve">1</w:t>
            </w:r>
          </w:p>
        </w:tc>
        <w:tc>
          <w:tcPr>
            <w:tcW w:w="1460" w:type="dxa"/>
          </w:tcPr>
          <w:p>
            <w:pPr>
              <w:jc w:val="center"/>
            </w:pPr>
            <w:r>
              <w:rPr>
                <w:b/>
              </w:rPr>
              <w:t xml:space="preserve">Tính thực tiễn của bộ tiêu chí:</w:t>
            </w:r>
            <w:r>
              <w:t xml:space="preserve"> Các bảng kiểm (checklist) mới đã đi sâu vào trọng tâm hoạt động nuôi dưỡng, giáo dục, giảm bớt tính hình thức so với trước đây.</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2</w:t>
            </w:r>
          </w:p>
        </w:tc>
        <w:tc>
          <w:tcPr>
            <w:tcW w:w="1460" w:type="dxa"/>
          </w:tcPr>
          <w:p>
            <w:pPr>
              <w:jc w:val="center"/>
            </w:pPr>
            <w:r>
              <w:rPr>
                <w:b/>
              </w:rPr>
              <w:t xml:space="preserve">Tính khách quan:</w:t>
            </w:r>
            <w:r>
              <w:t xml:space="preserve"> Ban kiểm tra đã thể hiện sự công tâm, đánh giá dựa trên minh chứng thực tế, giảm thiểu tình trạng nể nang hoặc định kiến cá nhân.</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3</w:t>
            </w:r>
          </w:p>
        </w:tc>
        <w:tc>
          <w:tcPr>
            <w:tcW w:w="1460" w:type="dxa"/>
          </w:tcPr>
          <w:p>
            <w:pPr>
              <w:jc w:val="center"/>
            </w:pPr>
            <w:r>
              <w:rPr>
                <w:b/>
              </w:rPr>
              <w:t xml:space="preserve">Cải cách hành chính:</w:t>
            </w:r>
            <w:r>
              <w:t xml:space="preserve"> Việc ứng dụng công nghệ (số hóa hồ sơ, mã QR, lưu trữ đám mây) giúp giảm áp lực về hồ sơ giấy tờ cho giáo viên mỗi khi có đoàn kiểm tra.</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4</w:t>
            </w:r>
          </w:p>
        </w:tc>
        <w:tc>
          <w:tcPr>
            <w:tcW w:w="1460" w:type="dxa"/>
          </w:tcPr>
          <w:p>
            <w:pPr>
              <w:jc w:val="center"/>
            </w:pPr>
            <w:r>
              <w:rPr>
                <w:b/>
              </w:rPr>
              <w:t xml:space="preserve">Tính tư vấn và hỗ trợ:</w:t>
            </w:r>
            <w:r>
              <w:t xml:space="preserve"> Sau mỗi đợt kiểm tra, tôi nhận được những tư vấn chuyên môn thiết thực, giúp khắc phục ngay những tồn tại thay vì chỉ bị chỉ trích lỗi.</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5</w:t>
            </w:r>
          </w:p>
        </w:tc>
        <w:tc>
          <w:tcPr>
            <w:tcW w:w="1460" w:type="dxa"/>
          </w:tcPr>
          <w:p>
            <w:pPr>
              <w:jc w:val="center"/>
            </w:pPr>
            <w:r>
              <w:rPr>
                <w:b/>
              </w:rPr>
              <w:t xml:space="preserve">Hiệu quả trong nuôi dưỡng:</w:t>
            </w:r>
            <w:r>
              <w:t xml:space="preserve"> Quy trình kiểm tra mới giúp việc giám sát khẩu phần ăn (28.000đ/ngày) và vệ sinh an toàn thực phẩm trở nên chặt chẽ, minh bạch hơn.</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6</w:t>
            </w:r>
          </w:p>
        </w:tc>
        <w:tc>
          <w:tcPr>
            <w:tcW w:w="1460" w:type="dxa"/>
          </w:tcPr>
          <w:p>
            <w:pPr>
              <w:jc w:val="center"/>
            </w:pPr>
            <w:r>
              <w:rPr>
                <w:b/>
              </w:rPr>
              <w:t xml:space="preserve">Khắc phục tâm lý đối phó:</w:t>
            </w:r>
            <w:r>
              <w:t xml:space="preserve"> Các giải pháp (như kiểm tra đột xuất, tập trung vào tương tác thực tế) đã giúp giáo viên duy trì chất lượng công việc ổn định, không còn làm việc theo kiểu đối phó.</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7</w:t>
            </w:r>
          </w:p>
        </w:tc>
        <w:tc>
          <w:tcPr>
            <w:tcW w:w="1460" w:type="dxa"/>
          </w:tcPr>
          <w:p>
            <w:pPr>
              <w:jc w:val="center"/>
            </w:pPr>
            <w:r>
              <w:rPr>
                <w:b/>
              </w:rPr>
              <w:t xml:space="preserve">Sự công bằng trong thi đua:</w:t>
            </w:r>
            <w:r>
              <w:t xml:space="preserve"> Kết quả kiểm tra được gắn liền với quy chế khen thưởng, xử phạt rõ ràng, tạo động lực cho những giáo viên có nỗ lực tiến bộ.</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8</w:t>
            </w:r>
          </w:p>
        </w:tc>
        <w:tc>
          <w:tcPr>
            <w:tcW w:w="1460" w:type="dxa"/>
          </w:tcPr>
          <w:p>
            <w:pPr>
              <w:jc w:val="center"/>
            </w:pPr>
            <w:r>
              <w:rPr>
                <w:b/>
              </w:rPr>
              <w:t xml:space="preserve">Tính thích ứng:</w:t>
            </w:r>
            <w:r>
              <w:t xml:space="preserve"> Giải pháp triển khai phù hợp với điều kiện cơ sở vật chất của trường (vùng nông thôn, thiếu tivi thông minh ở một số lớp) và tình trạng thiếu hụt nhân sự hiện nay.</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9</w:t>
            </w:r>
          </w:p>
        </w:tc>
        <w:tc>
          <w:tcPr>
            <w:tcW w:w="1460" w:type="dxa"/>
          </w:tcPr>
          <w:p>
            <w:pPr>
              <w:jc w:val="center"/>
            </w:pPr>
            <w:r>
              <w:rPr>
                <w:b/>
              </w:rPr>
              <w:t xml:space="preserve">Cải thiện môi trường giáo dục:</w:t>
            </w:r>
            <w:r>
              <w:t xml:space="preserve"> Hoạt động kiểm tra đã thúc đẩy việc sắp xếp môi trường lớp học và tổ chức các hoạt động giáo dục lấy trẻ làm trung tâm một cách thực chất.</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r>
        <w:tc>
          <w:tcPr>
            <w:tcW w:w="600" w:type="dxa"/>
          </w:tcPr>
          <w:p>
            <w:pPr>
              <w:jc w:val="center"/>
            </w:pPr>
            <w:r>
              <w:t xml:space="preserve">10</w:t>
            </w:r>
          </w:p>
        </w:tc>
        <w:tc>
          <w:tcPr>
            <w:tcW w:w="1460" w:type="dxa"/>
          </w:tcPr>
          <w:p>
            <w:pPr>
              <w:jc w:val="center"/>
            </w:pPr>
            <w:r>
              <w:rPr>
                <w:b/>
              </w:rPr>
              <w:t xml:space="preserve">Tính bền vững và nhân rộng:</w:t>
            </w:r>
            <w:r>
              <w:t xml:space="preserve"> Các giải pháp này nên được duy trì thường xuyên và có thể áp dụng hiệu quả cho các năm học tiếp theo tại nhà trường.</w:t>
            </w: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c>
          <w:tcPr>
            <w:tcW w:w="1460" w:type="dxa"/>
          </w:tcPr>
          <w:p>
            <w:pPr>
              <w:jc w:val="center"/>
            </w:pPr>
          </w:p>
        </w:tc>
      </w:tr>
    </w:tbl>
    <w:p>
      <w:pPr>
        <w:jc w:val="both"/>
        <w:ind w:firstLine="720"/>
        <w:spacing w:line="360" w:lineRule="auto" w:before="120" w:after="120"/>
      </w:pPr>
      <w:r>
        <w:rPr>
          <w:b/>
        </w:rPr>
        <w:t xml:space="preserve">3. Ý KIẾN ĐÓNG GÓP KHÁC (NẾU CÓ)</w:t>
      </w:r>
      <w:r>
        <w:t xml:space="preserve"> ................................................................................................................................................................................................................................................................................................................................................................................................................................................................................................................................................................................................................................................................................................................................................................................................................................................</w:t>
      </w:r>
    </w:p>
    <w:p>
      <w:pPr>
        <w:jc w:val="both"/>
        <w:ind w:firstLine="720"/>
        <w:spacing w:line="360" w:lineRule="auto" w:before="120" w:after="120"/>
      </w:pPr>
      <w:r>
        <w:t xml:space="preserve">Tôi xin chân thành cảm ơn sự đồng hành và những đóng góp thẳng thắn của các đồng chí để công tác quản lý của nhà trường ngày một hoàn thiện hơn!</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