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PHIẾU KHẢO SÁT Ý KIẾN GIÁO VIÊN VỀ TÍNH KHẢ THI VÀ HIỆU QUẢ CỦA CÁC GIẢI PHÁP CẢI TIẾN CÔNG TÁC KIỂM TRA NỘI BỘ</w:t>
      </w:r>
    </w:p>
    <w:p>
      <w:pPr>
        <w:jc w:val="both"/>
        <w:ind w:firstLine="720"/>
        <w:spacing w:line="360" w:lineRule="auto" w:before="120" w:after="120"/>
      </w:pPr>
      <w:r>
        <w:t xml:space="preserve">Nhằm đánh giá khách quan hiệu quả của đề tài </w:t>
      </w:r>
      <w:r>
        <w:rPr>
          <w:b/>
        </w:rPr>
        <w:t xml:space="preserve">"Một số giải pháp nâng cao chất lượng công tác kiểm tra nội bộ trong quản lý hoạt động nuôi dưỡng, chăm sóc và giáo dục trẻ tại trường mầm non"</w:t>
      </w:r>
      <w:r>
        <w:t xml:space="preserve"> áp dụng tại Trường Mầm non Hoạ Mi, tôi tiến hành khảo sát lấy ý kiến của toàn thể 35 cán bộ, giáo viên, nhân viên (CBGVNV) nhà trường. Những ý kiến đóng góp của quý đồng nghiệp là minh chứng quan trọng để tôi hoàn thiện và nhân rộng giải pháp.</w:t>
      </w:r>
    </w:p>
    <w:p>
      <w:pPr>
        <w:jc w:val="both"/>
        <w:ind w:firstLine="720"/>
        <w:spacing w:line="360" w:lineRule="auto" w:before="120" w:after="120"/>
      </w:pPr>
      <w:r>
        <w:rPr>
          <w:b/>
        </w:rPr>
        <w:t xml:space="preserve">Hướng dẫn:</w:t>
      </w:r>
      <w:r>
        <w:t xml:space="preserve"> Quý đồng nghiệp vui lòng đánh dấu (X) vào cột tương ứng với mức độ đánh giá theo thang đo:</w:t>
      </w:r>
    </w:p>
    <w:p>
      <w:pPr>
        <w:jc w:val="both"/>
        <w:tabs>
          <w:tab w:val="left" w:pos="720"/>
        </w:tabs>
        <w:ind w:left="720" w:hanging="360"/>
        <w:spacing w:after="60"/>
      </w:pPr>
      <w:r>
        <w:t xml:space="preserve">• </w:t>
        <w:tab/>
      </w:r>
      <w:r>
        <w:rPr>
          <w:b/>
        </w:rPr>
        <w:t xml:space="preserve">Mức 4:</w:t>
      </w:r>
      <w:r>
        <w:t xml:space="preserve"> Rất hiệu quả/Rất khả thi</w:t>
      </w:r>
    </w:p>
    <w:p>
      <w:pPr>
        <w:jc w:val="both"/>
        <w:tabs>
          <w:tab w:val="left" w:pos="720"/>
        </w:tabs>
        <w:ind w:left="720" w:hanging="360"/>
        <w:spacing w:after="60"/>
      </w:pPr>
      <w:r>
        <w:t xml:space="preserve">• </w:t>
        <w:tab/>
      </w:r>
      <w:r>
        <w:rPr>
          <w:b/>
        </w:rPr>
        <w:t xml:space="preserve">Mức 3:</w:t>
      </w:r>
      <w:r>
        <w:t xml:space="preserve"> Hiệu quả/Khả thi</w:t>
      </w:r>
    </w:p>
    <w:p>
      <w:pPr>
        <w:jc w:val="both"/>
        <w:tabs>
          <w:tab w:val="left" w:pos="720"/>
        </w:tabs>
        <w:ind w:left="720" w:hanging="360"/>
        <w:spacing w:after="60"/>
      </w:pPr>
      <w:r>
        <w:t xml:space="preserve">• </w:t>
        <w:tab/>
      </w:r>
      <w:r>
        <w:rPr>
          <w:b/>
        </w:rPr>
        <w:t xml:space="preserve">Mức 2:</w:t>
      </w:r>
      <w:r>
        <w:t xml:space="preserve"> Trung bình/Ít khả thi</w:t>
      </w:r>
    </w:p>
    <w:p>
      <w:pPr>
        <w:jc w:val="both"/>
        <w:tabs>
          <w:tab w:val="left" w:pos="720"/>
        </w:tabs>
        <w:ind w:left="720" w:hanging="360"/>
        <w:spacing w:after="60"/>
      </w:pPr>
      <w:r>
        <w:t xml:space="preserve">• </w:t>
        <w:tab/>
      </w:r>
      <w:r>
        <w:rPr>
          <w:b/>
        </w:rPr>
        <w:t xml:space="preserve">Mức 1:</w:t>
      </w:r>
      <w:r>
        <w:t xml:space="preserve"> Không hiệu quả/Không khả thi</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00"/>
        <w:gridCol w:w="1752"/>
        <w:gridCol w:w="1752"/>
        <w:gridCol w:w="1752"/>
        <w:gridCol w:w="1752"/>
        <w:gridCol w:w="1752"/>
      </w:tblGrid>
      <w:tr>
        <w:tc>
          <w:tcPr>
            <w:tcW w:w="600" w:type="dxa"/>
            <w:shd w:val="clear" w:color="auto" w:fill="D5E8F0"/>
          </w:tcPr>
          <w:p>
            <w:pPr>
              <w:jc w:val="center"/>
            </w:pPr>
            <w:r>
              <w:rPr>
                <w:b/>
              </w:rPr>
              <w:t xml:space="preserve">STT</w:t>
            </w:r>
          </w:p>
        </w:tc>
        <w:tc>
          <w:tcPr>
            <w:tcW w:w="1752" w:type="dxa"/>
            <w:shd w:val="clear" w:color="auto" w:fill="D5E8F0"/>
          </w:tcPr>
          <w:p>
            <w:pPr>
              <w:jc w:val="center"/>
            </w:pPr>
            <w:r>
              <w:rPr>
                <w:b/>
              </w:rPr>
              <w:t xml:space="preserve">Nội dung khảo sát về tính khả thi và hiệu quả của giải pháp</w:t>
            </w:r>
          </w:p>
        </w:tc>
        <w:tc>
          <w:tcPr>
            <w:tcW w:w="1752" w:type="dxa"/>
            <w:shd w:val="clear" w:color="auto" w:fill="D5E8F0"/>
          </w:tcPr>
          <w:p>
            <w:pPr>
              <w:jc w:val="center"/>
            </w:pPr>
            <w:r>
              <w:rPr>
                <w:b/>
              </w:rPr>
              <w:t xml:space="preserve">Mức 4</w:t>
            </w:r>
          </w:p>
        </w:tc>
        <w:tc>
          <w:tcPr>
            <w:tcW w:w="1752" w:type="dxa"/>
            <w:shd w:val="clear" w:color="auto" w:fill="D5E8F0"/>
          </w:tcPr>
          <w:p>
            <w:pPr>
              <w:jc w:val="center"/>
            </w:pPr>
            <w:r>
              <w:rPr>
                <w:b/>
              </w:rPr>
              <w:t xml:space="preserve">Mức 3</w:t>
            </w:r>
          </w:p>
        </w:tc>
        <w:tc>
          <w:tcPr>
            <w:tcW w:w="1752" w:type="dxa"/>
            <w:shd w:val="clear" w:color="auto" w:fill="D5E8F0"/>
          </w:tcPr>
          <w:p>
            <w:pPr>
              <w:jc w:val="center"/>
            </w:pPr>
            <w:r>
              <w:rPr>
                <w:b/>
              </w:rPr>
              <w:t xml:space="preserve">Mức 2</w:t>
            </w:r>
          </w:p>
        </w:tc>
        <w:tc>
          <w:tcPr>
            <w:tcW w:w="1752" w:type="dxa"/>
            <w:shd w:val="clear" w:color="auto" w:fill="D5E8F0"/>
          </w:tcPr>
          <w:p>
            <w:pPr>
              <w:jc w:val="center"/>
            </w:pPr>
            <w:r>
              <w:rPr>
                <w:b/>
              </w:rPr>
              <w:t xml:space="preserve">Mức 1</w:t>
            </w:r>
          </w:p>
        </w:tc>
      </w:tr>
      <w:tr>
        <w:tc>
          <w:tcPr>
            <w:tcW w:w="600" w:type="dxa"/>
          </w:tcPr>
          <w:p>
            <w:pPr>
              <w:jc w:val="center"/>
            </w:pPr>
            <w:r>
              <w:rPr>
                <w:b/>
              </w:rPr>
              <w:t xml:space="preserve">1</w:t>
            </w:r>
          </w:p>
        </w:tc>
        <w:tc>
          <w:tcPr>
            <w:tcW w:w="1752" w:type="dxa"/>
          </w:tcPr>
          <w:p>
            <w:pPr>
              <w:jc w:val="center"/>
            </w:pPr>
            <w:r>
              <w:rPr>
                <w:b/>
              </w:rPr>
              <w:t xml:space="preserve">Tính khoa học của chu trình PDSA:</w:t>
            </w:r>
            <w:r>
              <w:t xml:space="preserve"> Việc áp dụng chu trình Cải tiến liên tục (Lập kế hoạch - Thực hiện - Kiểm tra - Điều chỉnh) giúp công tác kiểm tra nội bộ trở nên logic, bớt áp lực và sát thực tế hơn.</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2</w:t>
            </w:r>
          </w:p>
        </w:tc>
        <w:tc>
          <w:tcPr>
            <w:tcW w:w="1752" w:type="dxa"/>
          </w:tcPr>
          <w:p>
            <w:pPr>
              <w:jc w:val="center"/>
            </w:pPr>
            <w:r>
              <w:rPr>
                <w:b/>
              </w:rPr>
              <w:t xml:space="preserve">Tính định lượng của bộ tiêu chí (Checklist):</w:t>
            </w:r>
            <w:r>
              <w:t xml:space="preserve"> Sử dụng bảng kiểm chi tiết cho các hoạt động (vệ sinh, ăn uống, dạy học) giúp giáo viên nắm rõ yêu cầu và Ban kiểm tra đánh giá khách quan, công bằng.</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3</w:t>
            </w:r>
          </w:p>
        </w:tc>
        <w:tc>
          <w:tcPr>
            <w:tcW w:w="1752" w:type="dxa"/>
          </w:tcPr>
          <w:p>
            <w:pPr>
              <w:jc w:val="center"/>
            </w:pPr>
            <w:r>
              <w:rPr>
                <w:b/>
              </w:rPr>
              <w:t xml:space="preserve">Hiệu quả khắc phục tâm lý nể nang:</w:t>
            </w:r>
            <w:r>
              <w:t xml:space="preserve"> Các giải pháp về tập huấn kỹ năng và công khai tiêu chí đã giúp Ban kiểm tra làm việc chuyên nghiệp hơn, giảm thiểu sự nể nang hay cảm tính trong đánh giá.</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4</w:t>
            </w:r>
          </w:p>
        </w:tc>
        <w:tc>
          <w:tcPr>
            <w:tcW w:w="1752" w:type="dxa"/>
          </w:tcPr>
          <w:p>
            <w:pPr>
              <w:jc w:val="center"/>
            </w:pPr>
            <w:r>
              <w:rPr>
                <w:b/>
              </w:rPr>
              <w:t xml:space="preserve">Cải cách thủ tục hành chính:</w:t>
            </w:r>
            <w:r>
              <w:t xml:space="preserve"> Việc cắt giảm số lượng biểu mẫu ký tay (giảm 75%, từ 12 xuống còn 3 bản) giúp giảm bớt gánh nặng hồ sơ cho giáo viên và người quản lý.</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5</w:t>
            </w:r>
          </w:p>
        </w:tc>
        <w:tc>
          <w:tcPr>
            <w:tcW w:w="1752" w:type="dxa"/>
          </w:tcPr>
          <w:p>
            <w:pPr>
              <w:jc w:val="center"/>
            </w:pPr>
            <w:r>
              <w:rPr>
                <w:b/>
              </w:rPr>
              <w:t xml:space="preserve">Hiệu quả của số hóa và ứng dụng công nghệ:</w:t>
            </w:r>
            <w:r>
              <w:t xml:space="preserve"> Việc sử dụng mã QR và lưu trữ hồ sơ trực tuyến giúp việc truy xuất minh chứng nhanh chóng, phù hợp với điều kiện thiếu hụt nhân sự hiện tại.</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6</w:t>
            </w:r>
          </w:p>
        </w:tc>
        <w:tc>
          <w:tcPr>
            <w:tcW w:w="1752" w:type="dxa"/>
          </w:tcPr>
          <w:p>
            <w:pPr>
              <w:jc w:val="center"/>
            </w:pPr>
            <w:r>
              <w:rPr>
                <w:b/>
              </w:rPr>
              <w:t xml:space="preserve">Tốc độ phản hồi kết quả:</w:t>
            </w:r>
            <w:r>
              <w:t xml:space="preserve"> Quy trình mới giúp giáo viên nhận kết quả và tư vấn chuyên môn ngay sau kiểm tra (rút ngắn từ 5 ngày xuống còn 1 ngày), giúp điều chỉnh sai sót kịp thời.</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7</w:t>
            </w:r>
          </w:p>
        </w:tc>
        <w:tc>
          <w:tcPr>
            <w:tcW w:w="1752" w:type="dxa"/>
          </w:tcPr>
          <w:p>
            <w:pPr>
              <w:jc w:val="center"/>
            </w:pPr>
            <w:r>
              <w:rPr>
                <w:b/>
              </w:rPr>
              <w:t xml:space="preserve">Tác động đến chất lượng chăm sóc trẻ:</w:t>
            </w:r>
            <w:r>
              <w:t xml:space="preserve"> Giải pháp giúp nâng cao tỷ lệ tuân thủ quy trình vệ sinh, giao nhận thực phẩm và chiết tính khẩu phần (đạt trên 90% tiêu chí tốt).</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8</w:t>
            </w:r>
          </w:p>
        </w:tc>
        <w:tc>
          <w:tcPr>
            <w:tcW w:w="1752" w:type="dxa"/>
          </w:tcPr>
          <w:p>
            <w:pPr>
              <w:jc w:val="center"/>
            </w:pPr>
            <w:r>
              <w:rPr>
                <w:b/>
              </w:rPr>
              <w:t xml:space="preserve">Tính phù hợp với bối cảnh địa phương:</w:t>
            </w:r>
            <w:r>
              <w:t xml:space="preserve"> Các giải pháp đưa ra linh hoạt, dễ thực hiện ngay cả trong điều kiện cơ sở vật chất còn hạn chế (thiếu Smart TV, kinh phí tiền ăn của trẻ thấp).</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9</w:t>
            </w:r>
          </w:p>
        </w:tc>
        <w:tc>
          <w:tcPr>
            <w:tcW w:w="1752" w:type="dxa"/>
          </w:tcPr>
          <w:p>
            <w:pPr>
              <w:jc w:val="center"/>
            </w:pPr>
            <w:r>
              <w:rPr>
                <w:b/>
              </w:rPr>
              <w:t xml:space="preserve">Sự chuyển biến về năng lực sư phạm:</w:t>
            </w:r>
            <w:r>
              <w:t xml:space="preserve"> Công tác kiểm tra không còn mang tính "đối phó" mà thực sự trở thành động lực để giáo viên tự bồi dưỡng, nâng cao chuyên môn (tăng tỷ lệ GV xếp loại Tốt từ 6 lên 14 người).</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r>
        <w:tc>
          <w:tcPr>
            <w:tcW w:w="600" w:type="dxa"/>
          </w:tcPr>
          <w:p>
            <w:pPr>
              <w:jc w:val="center"/>
            </w:pPr>
            <w:r>
              <w:rPr>
                <w:b/>
              </w:rPr>
              <w:t xml:space="preserve">10</w:t>
            </w:r>
          </w:p>
        </w:tc>
        <w:tc>
          <w:tcPr>
            <w:tcW w:w="1752" w:type="dxa"/>
          </w:tcPr>
          <w:p>
            <w:pPr>
              <w:jc w:val="center"/>
            </w:pPr>
            <w:r>
              <w:rPr>
                <w:b/>
              </w:rPr>
              <w:t xml:space="preserve">Khả năng nhân rộng:</w:t>
            </w:r>
            <w:r>
              <w:t xml:space="preserve"> Giải pháp có quy trình rõ ràng, công cụ dễ sử dụng, hoàn toàn có thể áp dụng hiệu quả tại các trường mầm non khác có cùng điều kiện nông thôn.</w:t>
            </w:r>
          </w:p>
        </w:tc>
        <w:tc>
          <w:tcPr>
            <w:tcW w:w="1752" w:type="dxa"/>
          </w:tcPr>
          <w:p>
            <w:pPr>
              <w:jc w:val="center"/>
            </w:pPr>
          </w:p>
        </w:tc>
        <w:tc>
          <w:tcPr>
            <w:tcW w:w="1752" w:type="dxa"/>
          </w:tcPr>
          <w:p>
            <w:pPr>
              <w:jc w:val="center"/>
            </w:pPr>
          </w:p>
        </w:tc>
        <w:tc>
          <w:tcPr>
            <w:tcW w:w="1752" w:type="dxa"/>
          </w:tcPr>
          <w:p>
            <w:pPr>
              <w:jc w:val="center"/>
            </w:pPr>
          </w:p>
        </w:tc>
        <w:tc>
          <w:tcPr>
            <w:tcW w:w="1752" w:type="dxa"/>
          </w:tcPr>
          <w:p>
            <w:pPr>
              <w:jc w:val="center"/>
            </w:pPr>
          </w:p>
        </w:tc>
      </w:tr>
    </w:tbl>
    <w:p>
      <w:pPr>
        <w:jc w:val="both"/>
        <w:ind w:firstLine="720"/>
        <w:spacing w:line="360" w:lineRule="auto" w:before="120" w:after="120"/>
      </w:pPr>
      <w:r>
        <w:rPr>
          <w:b/>
        </w:rPr>
        <w:t xml:space="preserve">Ý kiến đóng góp khác (nếu có):</w:t>
      </w:r>
      <w:r>
        <w:t xml:space="preserve"> .......................................................................................................................................................................... ..........................................................................................................................................................................</w:t>
      </w:r>
    </w:p>
    <w:p>
      <w:pPr>
        <w:jc w:val="both"/>
        <w:ind w:firstLine="720"/>
        <w:spacing w:line="360" w:lineRule="auto" w:before="120" w:after="120"/>
      </w:pPr>
      <w:r>
        <w:rPr>
          <w:b/>
        </w:rPr>
        <w:t xml:space="preserve">Tôi xin chân thành cảm ơn sự phối hợp của quý đồng nghiệp!</w:t>
      </w:r>
    </w:p>
    <w:p>
      <w:pPr>
        <w:jc w:val="both"/>
        <w:ind w:firstLine="720"/>
        <w:spacing w:line="360" w:lineRule="auto" w:before="120" w:after="120"/>
      </w:pPr>
      <w:r>
        <w:rPr>
          <w:b/>
        </w:rPr>
        <w:t xml:space="preserve">Tác giả** *(Đã ký)* **Lê Thị Thanh Thảo</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