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BEBFD" w14:textId="6EE1519C" w:rsidR="00EB2E82" w:rsidRPr="005B001A" w:rsidRDefault="00EB2E82" w:rsidP="00EB2E82">
      <w:pPr>
        <w:rPr>
          <w:rFonts w:ascii="Calibri" w:hAnsi="Calibri" w:cs="Calibri"/>
          <w:b/>
          <w:bCs/>
        </w:rPr>
      </w:pPr>
      <w:r w:rsidRPr="005B001A">
        <w:rPr>
          <w:rFonts w:ascii="Calibri" w:hAnsi="Calibri" w:cs="Calibri"/>
          <w:b/>
          <w:bCs/>
        </w:rPr>
        <w:t>S</w:t>
      </w:r>
      <w:r w:rsidRPr="005B001A">
        <w:rPr>
          <w:rFonts w:ascii="Calibri" w:hAnsi="Calibri" w:cs="Calibri"/>
          <w:b/>
          <w:bCs/>
        </w:rPr>
        <w:t>mart Home Energy Data Dictionary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4253"/>
        <w:gridCol w:w="2925"/>
      </w:tblGrid>
      <w:tr w:rsidR="003A0E2E" w:rsidRPr="00EB2E82" w14:paraId="201DF319" w14:textId="77777777" w:rsidTr="003A0E2E">
        <w:trPr>
          <w:trHeight w:val="337"/>
          <w:tblHeader/>
        </w:trPr>
        <w:tc>
          <w:tcPr>
            <w:tcW w:w="1838" w:type="dxa"/>
            <w:vAlign w:val="center"/>
            <w:hideMark/>
          </w:tcPr>
          <w:p w14:paraId="19C94F7C" w14:textId="77777777" w:rsidR="003A0E2E" w:rsidRPr="003A0E2E" w:rsidRDefault="003A0E2E" w:rsidP="00EB2E8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A0E2E">
              <w:rPr>
                <w:rFonts w:ascii="Calibri" w:hAnsi="Calibri" w:cs="Calibri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4253" w:type="dxa"/>
            <w:vAlign w:val="center"/>
            <w:hideMark/>
          </w:tcPr>
          <w:p w14:paraId="4F77F267" w14:textId="77777777" w:rsidR="003A0E2E" w:rsidRPr="003A0E2E" w:rsidRDefault="003A0E2E" w:rsidP="00EB2E8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A0E2E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925" w:type="dxa"/>
            <w:vAlign w:val="center"/>
            <w:hideMark/>
          </w:tcPr>
          <w:p w14:paraId="479B2CD0" w14:textId="77777777" w:rsidR="003A0E2E" w:rsidRPr="003A0E2E" w:rsidRDefault="003A0E2E" w:rsidP="00EB2E8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A0E2E">
              <w:rPr>
                <w:rFonts w:ascii="Calibri" w:hAnsi="Calibri" w:cs="Calibri"/>
                <w:b/>
                <w:bCs/>
                <w:sz w:val="22"/>
                <w:szCs w:val="22"/>
              </w:rPr>
              <w:t>Observed Values / Range</w:t>
            </w:r>
          </w:p>
        </w:tc>
      </w:tr>
      <w:tr w:rsidR="003A0E2E" w:rsidRPr="00EB2E82" w14:paraId="16D4DB05" w14:textId="77777777" w:rsidTr="003A0E2E">
        <w:tc>
          <w:tcPr>
            <w:tcW w:w="1838" w:type="dxa"/>
            <w:vAlign w:val="center"/>
            <w:hideMark/>
          </w:tcPr>
          <w:p w14:paraId="3803DA74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dwelling_type</w:t>
            </w:r>
          </w:p>
        </w:tc>
        <w:tc>
          <w:tcPr>
            <w:tcW w:w="4253" w:type="dxa"/>
            <w:vAlign w:val="center"/>
            <w:hideMark/>
          </w:tcPr>
          <w:p w14:paraId="23F21C69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Type of residential property associated with the household.</w:t>
            </w:r>
          </w:p>
        </w:tc>
        <w:tc>
          <w:tcPr>
            <w:tcW w:w="2925" w:type="dxa"/>
            <w:vAlign w:val="center"/>
            <w:hideMark/>
          </w:tcPr>
          <w:p w14:paraId="1A38A870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Apartment, Detached, Semi-detached, Semi Detached, Terraced</w:t>
            </w:r>
          </w:p>
        </w:tc>
      </w:tr>
      <w:tr w:rsidR="003A0E2E" w:rsidRPr="00EB2E82" w14:paraId="6753DD37" w14:textId="77777777" w:rsidTr="003A0E2E">
        <w:tc>
          <w:tcPr>
            <w:tcW w:w="1838" w:type="dxa"/>
            <w:vAlign w:val="center"/>
            <w:hideMark/>
          </w:tcPr>
          <w:p w14:paraId="7EE31060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heating_type</w:t>
            </w:r>
          </w:p>
        </w:tc>
        <w:tc>
          <w:tcPr>
            <w:tcW w:w="4253" w:type="dxa"/>
            <w:vAlign w:val="center"/>
            <w:hideMark/>
          </w:tcPr>
          <w:p w14:paraId="7E4884EC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Main heating technology or fuel used within the dwelling.</w:t>
            </w:r>
          </w:p>
        </w:tc>
        <w:tc>
          <w:tcPr>
            <w:tcW w:w="2925" w:type="dxa"/>
            <w:vAlign w:val="center"/>
            <w:hideMark/>
          </w:tcPr>
          <w:p w14:paraId="3F205815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Gas, Heat Pump, Electric, Oil</w:t>
            </w:r>
          </w:p>
        </w:tc>
      </w:tr>
      <w:tr w:rsidR="003A0E2E" w:rsidRPr="00EB2E82" w14:paraId="2FA13BCC" w14:textId="77777777" w:rsidTr="003A0E2E">
        <w:tc>
          <w:tcPr>
            <w:tcW w:w="1838" w:type="dxa"/>
            <w:vAlign w:val="center"/>
            <w:hideMark/>
          </w:tcPr>
          <w:p w14:paraId="175A6FCF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tariff_type</w:t>
            </w:r>
          </w:p>
        </w:tc>
        <w:tc>
          <w:tcPr>
            <w:tcW w:w="4253" w:type="dxa"/>
            <w:vAlign w:val="center"/>
            <w:hideMark/>
          </w:tcPr>
          <w:p w14:paraId="1F49D842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Electricity tariff plan associated with the household.</w:t>
            </w:r>
          </w:p>
        </w:tc>
        <w:tc>
          <w:tcPr>
            <w:tcW w:w="2925" w:type="dxa"/>
            <w:vAlign w:val="center"/>
            <w:hideMark/>
          </w:tcPr>
          <w:p w14:paraId="6EFA19F1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Standard, Smart, smart, Night Saver</w:t>
            </w:r>
          </w:p>
        </w:tc>
      </w:tr>
      <w:tr w:rsidR="003A0E2E" w:rsidRPr="00EB2E82" w14:paraId="1EB403B7" w14:textId="77777777" w:rsidTr="003A0E2E">
        <w:tc>
          <w:tcPr>
            <w:tcW w:w="1838" w:type="dxa"/>
            <w:vAlign w:val="center"/>
            <w:hideMark/>
          </w:tcPr>
          <w:p w14:paraId="577FC4FE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occupants</w:t>
            </w:r>
          </w:p>
        </w:tc>
        <w:tc>
          <w:tcPr>
            <w:tcW w:w="4253" w:type="dxa"/>
            <w:vAlign w:val="center"/>
            <w:hideMark/>
          </w:tcPr>
          <w:p w14:paraId="02AB8EF1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Number of people living in the dwelling.</w:t>
            </w:r>
          </w:p>
        </w:tc>
        <w:tc>
          <w:tcPr>
            <w:tcW w:w="2925" w:type="dxa"/>
            <w:vAlign w:val="center"/>
            <w:hideMark/>
          </w:tcPr>
          <w:p w14:paraId="0A9754F9" w14:textId="5E376888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- </w:t>
            </w:r>
            <w:r w:rsidRPr="00EB2E82">
              <w:rPr>
                <w:rFonts w:ascii="Calibri" w:hAnsi="Calibri" w:cs="Calibri"/>
                <w:sz w:val="20"/>
                <w:szCs w:val="20"/>
              </w:rPr>
              <w:t>20 people</w:t>
            </w:r>
          </w:p>
        </w:tc>
      </w:tr>
      <w:tr w:rsidR="003A0E2E" w:rsidRPr="00EB2E82" w14:paraId="61BCC59B" w14:textId="77777777" w:rsidTr="003A0E2E">
        <w:tc>
          <w:tcPr>
            <w:tcW w:w="1838" w:type="dxa"/>
            <w:vAlign w:val="center"/>
            <w:hideMark/>
          </w:tcPr>
          <w:p w14:paraId="7AFF5227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floor_area_m2</w:t>
            </w:r>
          </w:p>
        </w:tc>
        <w:tc>
          <w:tcPr>
            <w:tcW w:w="4253" w:type="dxa"/>
            <w:vAlign w:val="center"/>
            <w:hideMark/>
          </w:tcPr>
          <w:p w14:paraId="15404FDD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Total floor area of the dwelling measured in square metres.</w:t>
            </w:r>
          </w:p>
        </w:tc>
        <w:tc>
          <w:tcPr>
            <w:tcW w:w="2925" w:type="dxa"/>
            <w:vAlign w:val="center"/>
            <w:hideMark/>
          </w:tcPr>
          <w:p w14:paraId="5F448C8D" w14:textId="4FA5FAF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30.3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- </w:t>
            </w:r>
            <w:r w:rsidRPr="00EB2E82">
              <w:rPr>
                <w:rFonts w:ascii="Calibri" w:hAnsi="Calibri" w:cs="Calibri"/>
                <w:sz w:val="20"/>
                <w:szCs w:val="20"/>
              </w:rPr>
              <w:t>946.7 m²</w:t>
            </w:r>
          </w:p>
        </w:tc>
      </w:tr>
      <w:tr w:rsidR="003A0E2E" w:rsidRPr="00EB2E82" w14:paraId="2AEBB8BE" w14:textId="77777777" w:rsidTr="003A0E2E">
        <w:tc>
          <w:tcPr>
            <w:tcW w:w="1838" w:type="dxa"/>
            <w:vAlign w:val="center"/>
            <w:hideMark/>
          </w:tcPr>
          <w:p w14:paraId="21F5C080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avg_outdoor_temp_c</w:t>
            </w:r>
          </w:p>
        </w:tc>
        <w:tc>
          <w:tcPr>
            <w:tcW w:w="4253" w:type="dxa"/>
            <w:vAlign w:val="center"/>
            <w:hideMark/>
          </w:tcPr>
          <w:p w14:paraId="031F7F82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Average outdoor temperature associated with the household observation.</w:t>
            </w:r>
          </w:p>
        </w:tc>
        <w:tc>
          <w:tcPr>
            <w:tcW w:w="2925" w:type="dxa"/>
            <w:vAlign w:val="center"/>
            <w:hideMark/>
          </w:tcPr>
          <w:p w14:paraId="6A6B3E25" w14:textId="549AB1AA" w:rsidR="003A0E2E" w:rsidRPr="00EB2E82" w:rsidRDefault="002F1D5B" w:rsidP="00EB2E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-</w:t>
            </w:r>
            <w:r w:rsidR="003A0E2E" w:rsidRPr="00EB2E82">
              <w:rPr>
                <w:rFonts w:ascii="Calibri" w:hAnsi="Calibri" w:cs="Calibri"/>
                <w:sz w:val="20"/>
                <w:szCs w:val="20"/>
              </w:rPr>
              <w:t>27.9</w:t>
            </w:r>
            <w:r w:rsidR="003A0E2E">
              <w:rPr>
                <w:rFonts w:ascii="Calibri" w:hAnsi="Calibri" w:cs="Calibri"/>
                <w:sz w:val="20"/>
                <w:szCs w:val="20"/>
              </w:rPr>
              <w:t xml:space="preserve"> - </w:t>
            </w:r>
            <w:r w:rsidR="003A0E2E" w:rsidRPr="00EB2E82">
              <w:rPr>
                <w:rFonts w:ascii="Calibri" w:hAnsi="Calibri" w:cs="Calibri"/>
                <w:sz w:val="20"/>
                <w:szCs w:val="20"/>
              </w:rPr>
              <w:t>46.0 °C</w:t>
            </w:r>
          </w:p>
        </w:tc>
      </w:tr>
      <w:tr w:rsidR="003A0E2E" w:rsidRPr="00EB2E82" w14:paraId="2F7900E1" w14:textId="77777777" w:rsidTr="003A0E2E">
        <w:tc>
          <w:tcPr>
            <w:tcW w:w="1838" w:type="dxa"/>
            <w:vAlign w:val="center"/>
            <w:hideMark/>
          </w:tcPr>
          <w:p w14:paraId="301B277E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avg_daily_use_kwh</w:t>
            </w:r>
          </w:p>
        </w:tc>
        <w:tc>
          <w:tcPr>
            <w:tcW w:w="4253" w:type="dxa"/>
            <w:vAlign w:val="center"/>
            <w:hideMark/>
          </w:tcPr>
          <w:p w14:paraId="1BEEA0CB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Average daily household energy consumption measured in kilowatt-hours.</w:t>
            </w:r>
          </w:p>
        </w:tc>
        <w:tc>
          <w:tcPr>
            <w:tcW w:w="2925" w:type="dxa"/>
            <w:vAlign w:val="center"/>
            <w:hideMark/>
          </w:tcPr>
          <w:p w14:paraId="2C9B5C85" w14:textId="24AB5560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5.00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- </w:t>
            </w:r>
            <w:r w:rsidRPr="00EB2E82">
              <w:rPr>
                <w:rFonts w:ascii="Calibri" w:hAnsi="Calibri" w:cs="Calibri"/>
                <w:sz w:val="20"/>
                <w:szCs w:val="20"/>
              </w:rPr>
              <w:t>219.42 kWh</w:t>
            </w:r>
          </w:p>
        </w:tc>
      </w:tr>
      <w:tr w:rsidR="003A0E2E" w:rsidRPr="00EB2E82" w14:paraId="3EAAA999" w14:textId="77777777" w:rsidTr="003A0E2E">
        <w:tc>
          <w:tcPr>
            <w:tcW w:w="1838" w:type="dxa"/>
            <w:vAlign w:val="center"/>
            <w:hideMark/>
          </w:tcPr>
          <w:p w14:paraId="50237EFF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monthly_bill_eur</w:t>
            </w:r>
          </w:p>
        </w:tc>
        <w:tc>
          <w:tcPr>
            <w:tcW w:w="4253" w:type="dxa"/>
            <w:vAlign w:val="center"/>
            <w:hideMark/>
          </w:tcPr>
          <w:p w14:paraId="6BA90147" w14:textId="77777777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Monthly household energy bill expressed in euros.</w:t>
            </w:r>
          </w:p>
        </w:tc>
        <w:tc>
          <w:tcPr>
            <w:tcW w:w="2925" w:type="dxa"/>
            <w:vAlign w:val="center"/>
            <w:hideMark/>
          </w:tcPr>
          <w:p w14:paraId="4DA2F0E3" w14:textId="16A27F25" w:rsidR="003A0E2E" w:rsidRPr="00EB2E82" w:rsidRDefault="003A0E2E" w:rsidP="00EB2E82">
            <w:pPr>
              <w:rPr>
                <w:rFonts w:ascii="Calibri" w:hAnsi="Calibri" w:cs="Calibri"/>
                <w:sz w:val="20"/>
                <w:szCs w:val="20"/>
              </w:rPr>
            </w:pPr>
            <w:r w:rsidRPr="00EB2E82">
              <w:rPr>
                <w:rFonts w:ascii="Calibri" w:hAnsi="Calibri" w:cs="Calibri"/>
                <w:sz w:val="20"/>
                <w:szCs w:val="20"/>
              </w:rPr>
              <w:t>€40.00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- </w:t>
            </w:r>
            <w:r w:rsidRPr="00EB2E82">
              <w:rPr>
                <w:rFonts w:ascii="Calibri" w:hAnsi="Calibri" w:cs="Calibri"/>
                <w:sz w:val="20"/>
                <w:szCs w:val="20"/>
              </w:rPr>
              <w:t>€2,788.41</w:t>
            </w:r>
          </w:p>
        </w:tc>
      </w:tr>
    </w:tbl>
    <w:p w14:paraId="5687E0A0" w14:textId="77777777" w:rsidR="00EB2E82" w:rsidRPr="00EB2E82" w:rsidRDefault="00EB2E82">
      <w:pPr>
        <w:rPr>
          <w:rFonts w:ascii="Calibri" w:hAnsi="Calibri" w:cs="Calibri"/>
          <w:sz w:val="20"/>
          <w:szCs w:val="20"/>
        </w:rPr>
      </w:pPr>
    </w:p>
    <w:sectPr w:rsidR="00EB2E82" w:rsidRPr="00EB2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82"/>
    <w:rsid w:val="002F1D5B"/>
    <w:rsid w:val="003A0E2E"/>
    <w:rsid w:val="003A7A6E"/>
    <w:rsid w:val="005B001A"/>
    <w:rsid w:val="008F0BE2"/>
    <w:rsid w:val="00D90CCA"/>
    <w:rsid w:val="00D91BDB"/>
    <w:rsid w:val="00EB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4C97"/>
  <w15:chartTrackingRefBased/>
  <w15:docId w15:val="{A2966B48-40BD-45E0-AE1A-BA715C33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</dc:creator>
  <cp:keywords/>
  <dc:description/>
  <cp:lastModifiedBy>Muhammad Iqbal</cp:lastModifiedBy>
  <cp:revision>5</cp:revision>
  <dcterms:created xsi:type="dcterms:W3CDTF">2026-09-19T18:50:00Z</dcterms:created>
  <dcterms:modified xsi:type="dcterms:W3CDTF">2026-09-19T21:06:00Z</dcterms:modified>
</cp:coreProperties>
</file>