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FACULDADE SENAC PERNAMBUCO</w:t>
      </w:r>
    </w:p>
    <w:p>
      <w:pPr>
        <w:spacing w:after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Análise e Desenvolvimento de Sistemas, Recife-PE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DATA SCIENCE: PRINCÍPIOS E TÉCNICAS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1ª Atividade Avaliativa: Dossiê do Problema e dos Dados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Quais recursos de acessibilidade são viáveis no PI Saúde na Palma da Mão com R$ 0,00, duas alunas e duas semanas?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 e turma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[TADS25.109/3N] Data Science: Princípios e Técnicas, 2026.2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Professor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Rodrigo 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Thayná Batista da Silva e Polyana Fontes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 Integrador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 Saúde na Palma da Mão (1ª entrega: PWA, Coding Mobile)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do dossiê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28 de setembro de 2026 (entrega no Teams até 29/09/2026, 17h50)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Natureza dos dados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Sintéticos: critérios reais (WCAG, NBR, LBI) com estimativas de esforço da equipe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Ferramenta de IA</w:t>
            </w:r>
          </w:p>
        </w:tc>
        <w:tc>
          <w:tcPr>
            <w:tcW w:type="dxa" w:w="7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(Anthropic), usada para pesquisa, estruturação e cálculo; conferências descritas na Parte 05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Decisão recomendada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 1ª entrega (PWA), implementar o pacote de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10 itens (16,0 h)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o símbolo de acessibilidade exigido pelo art. 63, §1º da LBI e os 9 itens de nível A que atuam nos fluxos de login, cadastro, consulta e agendamento. Custo financeiro: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R$ 0,00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Os outros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11 itens do núcleo normativo (10,0 h)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ficam para a 2ª entrega. Os painéis de personalização da lista inicial ficam depois do núcleo. Cobrir todo o núcleo exige 30 h no total, contra 20 h assumidas.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Validade: cenário simulado. As horas são estimativas, não medições.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01. Problema e decisão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Problema e recorte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equipe precisa entregar um PWA com cadastros, login, perfis e agenda (Coding Mobile, 1ª avaliação) e deve considerar a legislação de acessibilidade. Não está definido quais recursos de acessibilidade são realistas dentro das restrições do projeto.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Serviço e público:</w:t>
      </w:r>
      <w:r>
        <w:rPr>
          <w:rFonts w:ascii="Arial" w:cs="Arial" w:eastAsia="Arial" w:hAnsi="Arial"/>
          <w:sz w:val="21"/>
          <w:szCs w:val="21"/>
        </w:rPr>
        <w:t xml:space="preserve"> PWA de agendamento de consultas, usado por pacientes, profissionais e administradores, incluindo pessoas com deficiência visual, auditiva, motora, cognitiva e idosas.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Restrições:</w:t>
      </w:r>
      <w:r>
        <w:rPr>
          <w:rFonts w:ascii="Arial" w:cs="Arial" w:eastAsia="Arial" w:hAnsi="Arial"/>
          <w:sz w:val="21"/>
          <w:szCs w:val="21"/>
        </w:rPr>
        <w:t xml:space="preserve"> orçamento de R$ 0,00, duas alunas de ADS e cerca de duas semanas. Os materiais do PI citam duas datas para a 1ª entrega (05/10/2026 e 14/10/2026); o dossiê usa o prazo de duas semanas informado pela equipe.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Período:</w:t>
      </w:r>
      <w:r>
        <w:rPr>
          <w:rFonts w:ascii="Arial" w:cs="Arial" w:eastAsia="Arial" w:hAnsi="Arial"/>
          <w:sz w:val="21"/>
          <w:szCs w:val="21"/>
        </w:rPr>
        <w:t xml:space="preserve"> setembro e outubro de 2026, até a 1ª entrega. A 2ª entrega (React Native com IA, 09/12/2026) entra apenas como destino dos itens adiados.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Pessoas e decisão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Quem é afetado:</w:t>
      </w:r>
      <w:r>
        <w:rPr>
          <w:rFonts w:ascii="Arial" w:cs="Arial" w:eastAsia="Arial" w:hAnsi="Arial"/>
          <w:sz w:val="21"/>
          <w:szCs w:val="21"/>
        </w:rPr>
        <w:t xml:space="preserve"> pacientes com deficiência que tentarem se cadastrar, entrar e agendar; profissionais e administradores com necessidades de acessibilidade.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Quem pode agir:</w:t>
      </w:r>
      <w:r>
        <w:rPr>
          <w:rFonts w:ascii="Arial" w:cs="Arial" w:eastAsia="Arial" w:hAnsi="Arial"/>
          <w:sz w:val="21"/>
          <w:szCs w:val="21"/>
        </w:rPr>
        <w:t xml:space="preserve"> as duas alunas, que decidem o backlog da sprint, com o professor focal do PI como avaliador.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Decisão a apoiar:</w:t>
      </w:r>
      <w:r>
        <w:rPr>
          <w:rFonts w:ascii="Arial" w:cs="Arial" w:eastAsia="Arial" w:hAnsi="Arial"/>
          <w:sz w:val="21"/>
          <w:szCs w:val="21"/>
        </w:rPr>
        <w:t xml:space="preserve"> quais recursos de acessibilidade entram na 1ª entrega, quais ficam para a 2ª e quais ficam de fora.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Base normativa pesquisada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tabela resume o que a pesquisa encontrou e como cada norma pesa na decisão. Os números entre colchetes remetem às Fontes.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538"/>
        <w:gridCol w:w="1000"/>
      </w:tblGrid>
      <w:tr>
        <w:trPr>
          <w:cantSplit/>
          <w:tblHeader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Norma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estabelece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Efeito na decisão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LBI, Lei 13.146/2015, art. 63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Obriga a acessibilidade em sítios de empresas com sede ou representação comercial no País e de órgãos de governo, conforme melhores práticas internacionais. O §1º exige símbolo de acessibilidade em destaque.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Origem da obrigação. Não cita WCAG nem nível. O símbolo é o único requisito de interface literal e virou o item N21.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ABNT NBR 17225:2025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Norma brasileira de acessibilidade em conteúdo e aplicações web, publicada em 11/03/2025, baseada na WCAG 2.2. A conformidade regular equivale aos níveis A e AA. A plena inclui recomendações.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Referência técnica nacional. Define o núcleo do dossiê: critérios A e AA. Traz checklist de aferição.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[2][3][4]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WCAG 2.2 (W3C, out/2023)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 critérios de sucesso em níveis A, AA e AAA. Acrescentou 9 critérios e removeu o 4.1.1.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Fonte dos critérios da base. Pede que o conteúdo suporte zoom e espaçamento, sem exigir painel de personalização.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[5][6][7]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Lei 10.098/2000 (art. 17), Decreto 5.296/2004 (art. 47) e e-MAG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Tratam de acessibilidade na comunicação e nos portais da administração pública.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Só pesam se o serviço for vinculado a órgão público.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[9]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LBI, art. 88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Tipifica discriminação em razão de deficiência, com reclusão de 1 a 3 anos e multa.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encontramos fonte que aplique o artigo a sites inacessíveis. Risco não medido.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 981/2022 (Senado)</w:t>
            </w:r>
          </w:p>
        </w:tc>
        <w:tc>
          <w:tcPr>
            <w:tcW w:type="dxa" w:w="3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Propõe estender o art. 63 a aplicações e dispositivos móveis e criar sanções, da advertência ao bloqueio.</w:t>
            </w:r>
          </w:p>
        </w:tc>
        <w:tc>
          <w:tcPr>
            <w:tcW w:type="dxa" w:w="35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tramitação (registro de 17/03/2026). Não vale como lei. Indica a direção para o app da 2ª entrega.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[8]</w:t>
            </w:r>
          </w:p>
        </w:tc>
      </w:tr>
    </w:tbl>
    <w:p>
      <w:pPr>
        <w:spacing w:after="100"/>
      </w:pP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 que a pesquisa permite afirmar: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art. 63 não fixa versão nem nível da WCAG. A NBR 17225 preenche essa lacuna com base na WCAG 2.2, e por isso o núcleo do dossiê é A e AA.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texto da LBI fala em sítios da internet. Para o app React Native da 2ª entrega não localizamos, nesta pesquisa, norma brasileira específica para aplicativo nativo; WCAG e NBR servem de referência.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Não localizamos sanção específica para o descumprimento do art. 63 no texto da lei. Este dossiê não é parecer jurídico.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art. 63 obriga empresas e órgãos de governo, não um projeto acadêmico em si. A equipe adota a norma como referência de qualidade e porque o produto pode virar serviço real (interpretação da equipe).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02. Perguntas e hipóteses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Pergunta principal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Quais recursos de acessibilidade (LBI art. 63, NBR 17225 e WCAG 2.2 A e AA) cabem em 16 horas de implementação, com custo de R$ 0,00, e protegem os fluxos de cadastro, login e agendamento?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Perguntas complementares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Que parcela do núcleo normativo cabe na capacidade da equipe?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Os recursos de personalização da lista inicial rendem mais ou menos impacto por hora que o núcleo?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decisão muda se a capacidade ou as estimativas variarem?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Hipóteses iniciais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H1:</w:t>
      </w:r>
      <w:r>
        <w:rPr>
          <w:rFonts w:ascii="Arial" w:cs="Arial" w:eastAsia="Arial" w:hAnsi="Arial"/>
          <w:sz w:val="21"/>
          <w:szCs w:val="21"/>
        </w:rPr>
        <w:t xml:space="preserve"> os itens do núcleo (A, AA e símbolo da LBI) têm impacto por hora maior que os recursos de personalização.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H2:</w:t>
      </w:r>
      <w:r>
        <w:rPr>
          <w:rFonts w:ascii="Arial" w:cs="Arial" w:eastAsia="Arial" w:hAnsi="Arial"/>
          <w:sz w:val="21"/>
          <w:szCs w:val="21"/>
        </w:rPr>
        <w:t xml:space="preserve"> o núcleo completo não cabe em 16 horas e exige divisão entre a 1ª e a 2ª entrega.</w:t>
      </w:r>
    </w:p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Resposta útil:</w:t>
      </w:r>
      <w:r>
        <w:rPr>
          <w:rFonts w:ascii="Arial" w:cs="Arial" w:eastAsia="Arial" w:hAnsi="Arial"/>
          <w:sz w:val="21"/>
          <w:szCs w:val="21"/>
        </w:rPr>
        <w:t xml:space="preserve"> uma lista priorizada, com horas acumuladas dentro da capacidade, ligada a requisitos legais e com teste de sensibilidade. As hipóteses podem não ser apoiadas.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03. Dados e preparação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Origem e recorte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Tipo:</w:t>
      </w:r>
      <w:r>
        <w:rPr>
          <w:rFonts w:ascii="Arial" w:cs="Arial" w:eastAsia="Arial" w:hAnsi="Arial"/>
          <w:sz w:val="21"/>
          <w:szCs w:val="21"/>
        </w:rPr>
        <w:t xml:space="preserve"> dados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sintéticos</w:t>
      </w:r>
      <w:r>
        <w:rPr>
          <w:rFonts w:ascii="Arial" w:cs="Arial" w:eastAsia="Arial" w:hAnsi="Arial"/>
          <w:sz w:val="21"/>
          <w:szCs w:val="21"/>
        </w:rPr>
        <w:t xml:space="preserve">. Os critérios, níveis e referências vêm de fontes públicas reais (WCAG 2.2, NBR 17225, LBI).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horas estimadas</w:t>
      </w:r>
      <w:r>
        <w:rPr>
          <w:rFonts w:ascii="Arial" w:cs="Arial" w:eastAsia="Arial" w:hAnsi="Arial"/>
          <w:sz w:val="21"/>
          <w:szCs w:val="21"/>
        </w:rPr>
        <w:t xml:space="preserve"> são hipóteses da equipe e não foram medidas. Não há dados pessoais.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Fonte e período:</w:t>
      </w:r>
      <w:r>
        <w:rPr>
          <w:rFonts w:ascii="Arial" w:cs="Arial" w:eastAsia="Arial" w:hAnsi="Arial"/>
          <w:sz w:val="21"/>
          <w:szCs w:val="21"/>
        </w:rPr>
        <w:t xml:space="preserve"> construída em setembro de 2026 a partir das fontes listadas ao final. Acesso livre. Base original preservada em 01_base_original_v1.csv.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Parâmetros assumidos (editáveis):</w:t>
      </w:r>
      <w:r>
        <w:rPr>
          <w:rFonts w:ascii="Arial" w:cs="Arial" w:eastAsia="Arial" w:hAnsi="Arial"/>
          <w:sz w:val="21"/>
          <w:szCs w:val="21"/>
        </w:rPr>
        <w:t xml:space="preserve"> capacidade de 20 h (2 pessoas x 2 semanas x 5 h por semana), com 4 h reservadas para verificação (item V01), restando 16 h de implementação. Custo de todas as ferramentas: R$ 0,00.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Estrutura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Cada linha é um recurso ou critério de acessibilidade. A base preparada tem 41 linhas: 21 do núcleo (N01 a N21), 11 de personalização (P01 a P11), 3 extras (X01 a X03), 5 condicionais de gráficos (G01 a G05) e 1 de verificação (V01).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738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Variável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id, recurso, referencia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Identificador, descrição e critério de origem (ex.: WCAG 2.2: 1.4.3 (AA))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nivel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categoria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A, AA, AAA, LBI, Boa prática ou Verificação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grupos, n_grupos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texto, inteiro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Grupos beneficiados (visual, auditiva, motora, cognitiva, aprendizagem, neurologica, idosa) e sua contagem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fluxo_critico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 ou não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falha do recurso pode impedir concluir login, cadastro, consulta ou agendamento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horas_estimadas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(h)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Esforço incremental de implementação no PWA (estimativa)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aplicavel_mvp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categoria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Sim, Condicional, Alternativa ou Reserva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impacto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inteiro de 1 a 5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Nível (3 se A, AA ou LBI; 1 nos demais) + fluxo crítico (0 ou 1) + dois ou mais grupos (0 ou 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camada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T0, T1, T2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T0: exigência expressa na lei. T1: nível A em fluxo crítico. T2: demais itens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decisao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categoria</w:t>
            </w:r>
          </w:p>
        </w:tc>
        <w:tc>
          <w:tcPr>
            <w:tcW w:type="dxa" w:w="57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Fazer no MVP, Adiar, Backlog, Condicional, Alternativa ou Reserva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Regra de decisão.</w:t>
      </w:r>
      <w:r>
        <w:rPr>
          <w:rFonts w:ascii="Arial" w:cs="Arial" w:eastAsia="Arial" w:hAnsi="Arial"/>
          <w:sz w:val="21"/>
          <w:szCs w:val="21"/>
        </w:rPr>
        <w:t xml:space="preserve"> A ordem é T0, depois T1, depois T2, e dentro de cada camada pelo maior impacto por hora. O pacote é a sequência inicial cuja soma de horas cabe nas 16 h, parando no primeiro item que estoura.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Qualidade e tratamentos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Verificações na base original: 39 linhas, 0 ids duplicados, 0 células vazias, 0 valores fora do vocabulário, 0 horas nulas ou negativas. Foram feitos quatro tratamentos, todos registrados em 04_log_preparacao.csv: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000"/>
        <w:gridCol w:w="1838"/>
      </w:tblGrid>
      <w:tr>
        <w:trPr>
          <w:cantSplit/>
          <w:tblHeader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Problema ou motivo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Tratamento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art. 63, §1º (símbolo de acessibilidade) não estava na base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Acrescentado N21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+1 linha, 1,5 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Seletor de data e horário estimado em 5,0 h como se fosse componente próprio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Separado em N13 (controles nativos, 1,5 h) e X03 (calendário customizado, 6,0 h, alternativa que não soma)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N13 de 5,0 h para 1,5 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Itens de gráficos (G01 a G05) não se aplicam ao escopo da 1ª entrega, que não prevê gráficos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Marcados como Condicional e retirados da seleção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linhas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Verificação é reserva de tempo, não recurso</w:t>
            </w:r>
          </w:p>
        </w:tc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V01 tratado como reserva de 4,0 h, sem pontuar impacto</w:t>
            </w:r>
          </w:p>
        </w:tc>
        <w:tc>
          <w:tcPr>
            <w:tcW w:type="dxa" w:w="1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linha</w:t>
            </w:r>
          </w:p>
        </w:tc>
      </w:tr>
    </w:tbl>
    <w:p>
      <w:p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Após os tratamentos: 41 linhas, 0 duplicados, 0 vazios, 0 fora do vocabulário.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04. Análise e visualização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Achados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Achado 1. Com 16 h cabem 10 dos 21 itens do núcleo (47,6%), ou 16,0 de 26,0 h (61,5%).</w:t>
      </w:r>
      <w:r>
        <w:rPr>
          <w:rFonts w:ascii="Arial" w:cs="Arial" w:eastAsia="Arial" w:hAnsi="Arial"/>
          <w:sz w:val="21"/>
          <w:szCs w:val="21"/>
        </w:rPr>
        <w:t xml:space="preserve"> O pacote reúne o símbolo da LBI (N21) e os 9 itens de nível A em fluxos críticos (N17, N03, N07, N13, N18, N04, N05, N12, N14). Todos os 10 itens de camadas T0 e T1 cabem. Evidência: Gráfico 2 e Apêndice B. Relação com o problema: mostra o que a equipe consegue entregar sem bloquear a jornada de agendamento.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Achado 2. Os 11 itens restantes do núcleo somam 10,0 h (52,4% dos itens) e ficam para a 2ª entrega. Cobrir 100% do núcleo exige 30 h totais (26,0 h mais 4,0 h de verificação), 150% da capacidade assumida.</w:t>
      </w:r>
      <w:r>
        <w:rPr>
          <w:rFonts w:ascii="Arial" w:cs="Arial" w:eastAsia="Arial" w:hAnsi="Arial"/>
          <w:sz w:val="21"/>
          <w:szCs w:val="21"/>
        </w:rPr>
        <w:t xml:space="preserve"> Com 24 h totais, cobrem-se 17 itens (81,0%). Se as horas estiverem 50% subestimadas, o pacote mínimo passa a exigir 24 h de implementação e só cabe com 30 h totais. Evidência: Tabela de sensibilidade.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Achado 3. Os 11 recursos de personalização somam 18,5 h, com impacto médio de 1,8 contra 4,5 do núcleo, e mediana de 1,33 pontos por hora contra 4,00.</w:t>
      </w:r>
      <w:r>
        <w:rPr>
          <w:rFonts w:ascii="Arial" w:cs="Arial" w:eastAsia="Arial" w:hAnsi="Arial"/>
          <w:sz w:val="21"/>
          <w:szCs w:val="21"/>
        </w:rPr>
        <w:t xml:space="preserve"> Nenhum deles é critério A ou AA. A WCAG pede que o texto possa ser ampliado até 200% sem perda e que o espaçamento possa ser alterado, o que o navegador e o CSS responsivo já atendem, e não que o produto ofereça um painel [5]. Evidência: Gráfico 1.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Gráfico 1. Esforço x impacto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Por que este gráfico:</w:t>
      </w:r>
      <w:r>
        <w:rPr>
          <w:rFonts w:ascii="Arial" w:cs="Arial" w:eastAsia="Arial" w:hAnsi="Arial"/>
          <w:sz w:val="21"/>
          <w:szCs w:val="21"/>
        </w:rPr>
        <w:t xml:space="preserve"> dispersão mostra a troca entre custo e benefício de cada recurso na mesma escala, e a cor e a forma separam decisão e grupo. Mede horas estimadas e pontos de impacto por item. Recorte: 34 itens aplicáveis ao MVP. Período: setembro de 2026. Denominador: 34 itens.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grafico1_esforco_impacto.png" descr="Dispersão com 34 recursos de acessibilidade. Os 21 itens do núcleo ficam entre 3 e 5 pontos de impacto e até 2,5 horas. Os 11 de personalização e os 2 extras AAA ficam em 1 e 2 pontos. Os 10 itens do pacote do MVP estão em azul, os 11 adiados do núcleo em vermelho e os demais em cinza." title="Gráfico de dispersão esforço x impa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Gráfico 1. Esforço estimado (horas) x impacto (1 a 5). Fonte: dados sintéticos da equipe, set/2026. Tabela de origem: 05_grafico1_tabela.csv.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Leitura:</w:t>
      </w:r>
      <w:r>
        <w:rPr>
          <w:rFonts w:ascii="Arial" w:cs="Arial" w:eastAsia="Arial" w:hAnsi="Arial"/>
          <w:sz w:val="21"/>
          <w:szCs w:val="21"/>
        </w:rPr>
        <w:t xml:space="preserve"> o núcleo ocupa a faixa de impacto 3 a 5 com até 2,5 h por item; a personalização fica em 1 e 2 pontos com custo semelhante ou maior. O escore de impacto favorece o nível A e AA por construção, portanto a separação é em parte definida pela regra; a evidência independente é o Achado 3.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Gráfico 2. Horas acumuladas pela ordem de prioridade (com revisão)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Por que este gráfico:</w:t>
      </w:r>
      <w:r>
        <w:rPr>
          <w:rFonts w:ascii="Arial" w:cs="Arial" w:eastAsia="Arial" w:hAnsi="Arial"/>
          <w:sz w:val="21"/>
          <w:szCs w:val="21"/>
        </w:rPr>
        <w:t xml:space="preserve"> a curva acumulada mostra até onde a capacidade de 16 h alcança. Mede horas acumuladas por item na ordem de prioridade. Recorte: 34 itens aplicáveis. Período: setembro de 2026. Unidade: horas. Denominador: 34 itens.</w:t>
      </w: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Versão inicial:</w:t>
      </w:r>
      <w:r>
        <w:rPr>
          <w:rFonts w:ascii="Arial" w:cs="Arial" w:eastAsia="Arial" w:hAnsi="Arial"/>
          <w:sz w:val="21"/>
          <w:szCs w:val="21"/>
        </w:rPr>
        <w:t xml:space="preserve"> linha simples de horas acumuladas, sem rótulos e sem a capacidade.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grafico2_versao_inicial.png" descr="Linha crescente de horas acumuladas de 0 a cerca de 50 horas ao longo de 34 itens, sem rótulos nem linha de capacidade." title="Gráfico 2, versão in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Gráfico 2, versão inicial. Fonte: dados sintéticos da equipe, set/2026.</w:t>
      </w: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Versão revisada:</w:t>
      </w:r>
      <w:r>
        <w:rPr>
          <w:rFonts w:ascii="Arial" w:cs="Arial" w:eastAsia="Arial" w:hAnsi="Arial"/>
          <w:sz w:val="21"/>
          <w:szCs w:val="21"/>
        </w:rPr>
        <w:t xml:space="preserve"> mesma série, mesma escala e mesmo período, com três mudanças: linha tracejada da capacidade (16 h), rótulos de id e horas acumuladas nos itens que cabem e nos primeiros que ficam de fora, e cor e forma por camada.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grafico2_versao_revisada.png" descr="A mesma linha de horas acumuladas, agora com linha tracejada na capacidade de 16 horas. Dez itens ficam até a linha, com rótulos de id e horas acumuladas, do N21 com 1,5 horas ao N14 com 16,0 horas. Os demais ficam acima." title="Gráfico 2, versão revis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Gráfico 2, versão revisada. Fonte: dados sintéticos da equipe, set/2026. Tabela de origem: 06_grafico2_tabela.csv. Mudança de leitura conforme orientação do enunciado (rótulos explícitos).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Mudança de leitura:</w:t>
      </w:r>
      <w:r>
        <w:rPr>
          <w:rFonts w:ascii="Arial" w:cs="Arial" w:eastAsia="Arial" w:hAnsi="Arial"/>
          <w:sz w:val="21"/>
          <w:szCs w:val="21"/>
        </w:rPr>
        <w:t xml:space="preserve"> na versão inicial era preciso estimar no eixo onde a curva cruza a capacidade; na revisada o cruzamento aparece entre N14 (16,0 h) e N16 (16,5 h), e os rótulos mostram quais itens compõem o pacote. Dados, indicador, período e escala foram preservados.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Sensibilidade da decisão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A tabela varia a capacidade total (com 4 h de verificação) e as estimativas de horas (x1,0 e x1,5). Denominadores: 21 itens do núcleo e 10 itens de lei e fluxos críticos.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400"/>
        <w:gridCol w:w="1100"/>
        <w:gridCol w:w="1100"/>
        <w:gridCol w:w="1938"/>
        <w:gridCol w:w="1500"/>
      </w:tblGrid>
      <w:tr>
        <w:trPr>
          <w:cantSplit/>
          <w:tblHeader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Estimativas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Capacidade total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Para implementar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Itens no pacote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Horas usadas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Núcleo coberto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Lei e fluxos críticos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7,5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21 (28,6%)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11,5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21 (38,1%)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21 (47,6%)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 de 21 (81,0%)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 de 21 (100,0%)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x1,0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28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36,0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 de 21 (100,0%)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5,3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de 21 (14,3%)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de 21 (23,8%)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11,3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21 (28,6%)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17,3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21 (38,1%)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24,0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21 (47,6%)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x1,5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 h</w:t>
            </w:r>
          </w:p>
        </w:tc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34,0 h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33,8 h</w:t>
            </w:r>
          </w:p>
        </w:tc>
        <w:tc>
          <w:tcPr>
            <w:tcW w:type="dxa" w:w="19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19 de 21 (90,5%)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de 10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Linha destacada: cenário base. Fonte: 07_sensibilidade.csv (dados sintéticos).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05. IA e validação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1. Pedir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Ferramenta:</w:t>
      </w:r>
      <w:r>
        <w:rPr>
          <w:rFonts w:ascii="Arial" w:cs="Arial" w:eastAsia="Arial" w:hAnsi="Arial"/>
          <w:sz w:val="21"/>
          <w:szCs w:val="21"/>
        </w:rPr>
        <w:t xml:space="preserve"> Claude (Anthropic).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O que foi pedido:</w:t>
      </w:r>
      <w:r>
        <w:rPr>
          <w:rFonts w:ascii="Arial" w:cs="Arial" w:eastAsia="Arial" w:hAnsi="Arial"/>
          <w:sz w:val="21"/>
          <w:szCs w:val="21"/>
        </w:rPr>
        <w:t xml:space="preserve"> (a) classificar recursos de acessibilidade em Essencial, Recomendado ou Opcional, com dica de implementação; (b) explicar a legislação brasileira de acessibilidade digital; (c) montar este dossiê para decidir o que é viável com R$ 0,00, duas alunas e duas semanas.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Dados fornecidos:</w:t>
      </w:r>
      <w:r>
        <w:rPr>
          <w:rFonts w:ascii="Arial" w:cs="Arial" w:eastAsia="Arial" w:hAnsi="Arial"/>
          <w:sz w:val="21"/>
          <w:szCs w:val="21"/>
        </w:rPr>
        <w:t xml:space="preserve"> enunciado da atividade, requisitos das duas entregas de Coding Mobile, as restrições do projeto e a lista inicial de 10 recursos da equipe.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2. Conferir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foi conferido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Como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 do art. 63 e do §1º da LBI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Comparação entre transcrições [1] e o texto do PL 981/2022 [8], que altera o mesmo artigo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Confirmado. O símbolo de acessibilidade (§1º) não constava da base nem do guia inicial da IA. Foi acrescentado (N21)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Existência, data e base da NBR 17225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Comparação entre três fontes [2][3][4]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Confirmadas a publicação em 11/03/2025, a base na WCAG 2.2 e a equivalência da conformidade regular a A e AA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de critérios da WCAG 2.2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Comparação entre fontes [5][6][7]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86 critérios. Uma fonte secundária (Passiro) diverge na contagem por nível (32 A e 30 AAA); adotamos 31 A, 24 AA e 31 AAA, coerente com a série de contagens de nível A por versão (25, 30 e 31) [6]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Níveis dos critérios novos da 2.2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Fontes [6][7] e página Understanding do W3C para o 2.5.8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2.4.11 (AA), 2.5.8 (AA), 3.2.6 (A), 3.3.7 (A) e 3.3.8 (AA) confirmados. Os níveis dos critérios herdados da 2.0 e 2.1 não foram reabertos no W3C e devem ser conferidos na Referência Rápida antes da defesa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Situação do PL 981/2022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Página do Senado [8]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 tramitação, último estado registrado em 17/03/2026. Tratado como proposta, não como lei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Cálculo do pacote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Soma das horas por duas vias: pandas e leitura direta do CSV, com o mesmo resultado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16,00 h nas duas. Também comparado com o máximo possível de impacto em 16 h (programação dinâmica): 46 de 72 pontos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Gratuidade das ferramentas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Fontes [10]</w:t>
            </w:r>
          </w:p>
        </w:tc>
        <w:tc>
          <w:tcPr>
            <w:tcW w:type="dxa" w:w="42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Lighthouse, axe DevTools e NVDA descritos como gratuitos; WAVE citado entre as extensões usadas. Confirmar licença antes de citar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Cálculo conferido diretamente na base (repetir em Excel antes da defesa):</w:t>
      </w:r>
      <w:r>
        <w:rPr>
          <w:rFonts w:ascii="Arial" w:cs="Arial" w:eastAsia="Arial" w:hAnsi="Arial"/>
          <w:sz w:val="21"/>
          <w:szCs w:val="21"/>
        </w:rPr>
        <w:t xml:space="preserve"> abrir 03_base_analitica.csv e usar =SOMASE(coluna_decisao;"Fazer no MVP";coluna_horas). O resultado esperado é 16,00.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3. Justificar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838"/>
      </w:tblGrid>
      <w:tr>
        <w:trPr>
          <w:cantSplit/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Decisão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 que ocorreu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Descartado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primeira versão do dossiê gerada pela IA nesta conversa tratava de outro problema e trazia números sem base rastreável (por exemplo impacto de 8,5 em 10, 4,5 h e 18 h) e uma base de 30 linhas que não existia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Dados sem origem não sustentam decisão. A base foi refeita com critérios rastreáveis e regra de pontuação explícita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Corrigido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Acréscimo de N21, separação de N13 (5,0 h para 1,5 h) e reclassificação de G01 a G05 e V01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 Parte 03. Cada correção decorreu de uma verificação registrada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Corrigido (refinamento real)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primeira regra ordenava só pelo impacto por hora e deixava fora N04, N05, N12 e N14 (8,5 h), que são rótulos de formulário, erros, teclado e nome acessível dos componentes. O pacote ficava com 16 itens e 15,5 h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esses itens não se conclui o agendamento com leitor de tela ou teclado. A regra passou a ter camadas (lei, nível A em fluxo crítico, demais)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Aceito com ressalva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Horas estimadas da IA mantidas como hipótese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 medição disponível. Devem ser recalibradas com as horas reais da sprint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Registrado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regra adotada atinge 46 dos 72 pontos de impacto possíveis em 16 h</w:t>
            </w:r>
          </w:p>
        </w:tc>
        <w:tc>
          <w:tcPr>
            <w:tcW w:type="dxa" w:w="38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diferença é proposital: a soma de pontos não captura o bloqueio total de uma tarefa, e a equipe prioriza a jornada</w:t>
            </w:r>
          </w:p>
        </w:tc>
      </w:tr>
    </w:tbl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06. Conclusão e PI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Resposta à pergunta principal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Com 16 horas de implementação e R$ 0,00 cabem 10 itens: N21, N17, N03, N07, N13, N18, N04, N05, N12, N14. Eles cobrem a exigência literal do art. 63, §1º da LBI e os critérios de nível A que protegem login, cadastro, consulta e agendamento. O restante do núcleo (11 itens, 10,0 h) não cabe e passa para a 2ª entrega.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Hipóteses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H1 (núcleo com mais impacto por hora): apoiada.</w:t>
      </w:r>
      <w:r>
        <w:rPr>
          <w:rFonts w:ascii="Arial" w:cs="Arial" w:eastAsia="Arial" w:hAnsi="Arial"/>
          <w:sz w:val="21"/>
          <w:szCs w:val="21"/>
        </w:rPr>
        <w:t xml:space="preserve"> Mediana de 4,00 contra 1,33 dos recursos de personalização. Ressalva: o escore premia A e AA por construção; o apoio independente é que a WCAG não exige painéis de personalização.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H2 (núcleo completo não cabe em 16 h): apoiada.</w:t>
      </w:r>
      <w:r>
        <w:rPr>
          <w:rFonts w:ascii="Arial" w:cs="Arial" w:eastAsia="Arial" w:hAnsi="Arial"/>
          <w:sz w:val="21"/>
          <w:szCs w:val="21"/>
        </w:rPr>
        <w:t xml:space="preserve"> O núcleo soma 26,0 h, ou 163% da capacidade de implementação.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Próxima ação recomendada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Incluir os 10 itens do pacote no backlog da sprint da 1ª entrega, reservar 4 h para verificação (Lighthouse, axe DevTools, WAVE, teclado e NVDA) e registrar as horas reais dos dois primeiros itens (N21 e N17) para recalibrar as estimativas. Se houver folga, seguir a ordem T2: N16, N02, N09, N11, N19, N20, N15, N10.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Limites da análise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Os dados são sintéticos. A conclusão vale para o cenário simulado, não para o mundo real.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As horas são estimativas, e a capacidade de 20 h é uma suposição da equipe. Com estimativas 50% maiores, o pacote exige 30 h totais.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 escore de impacto é uma regra da equipe, não uma medição sobre usuários.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A base não considera testes com pessoas com deficiência, bugs de integração entre PWA, backend e banco, nem a LGPD, que é relevante para dados de saúde e está fora do escopo deste dossiê.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Os níveis e a redação dos critérios herdados da WCAG 2.0 e 2.1 (por exemplo 1.4.4 e 1.4.12) devem ser conferidos na Referência Rápida do W3C. A compatibilidade do VLibras com PWA não foi verificada.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Informação necessária para avançar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Horas reais de implementação por item, a serem registradas durante a sprint.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Confirmação de que o PWA não terá gráficos ou painéis (G01 a G05).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Resultado de testes com teclado, NVDA e, se possível, pessoas com deficiência.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1"/>
          <w:szCs w:val="21"/>
        </w:rPr>
        <w:t xml:space="preserve">Confirmação se o serviço será vinculado a órgão público, o que ativaria o Decreto 5.296/2004 e o e-MAG.</w:t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Fontes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[1] BRASIL. Lei nº 13.146, de 6 de julho de 2015 (LBI), arts. 63 e 88. Transcrições conferidas: LEGJUR, https://www.legjur.com/legislacao/nivel/lei_00131462015/-titulo-iii-da-acessibilidade e https://www.legjur.com/legislacao/art/lei_00131462015-88; CEWEB.br, https://acervo.ceweb.br/acervos/conteudo/fce061ec-8fed-41d9-b69c-81ce2bd6674b; PREFEITURA DE SÃO PAULO, apresentação SAD/ASES, https://www.prefeitura.sp.gov.br/cidade/secretarias/upload/Apresenta%C3%A7%C3%A3o%20SAD%20ASES%20WARAM.PDF. O texto oficial está no Planalto (endereço citado por essas fontes), que a equipe deve consultar antes da defesa.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[2] ABNT. ABNT NBR 17225:2025, Acessibilidade em conteúdo e aplicações web: requisitos. 1. ed., 11 mar. 2025. Cópia disponibilizada pela Câmara dos Deputados: https://www2.camara.leg.br/a-camara/estruturaadm/gestao-na-camara-dos-deputados/responsabilidade-social-e-ambiental/acessibilidade/pdfs/ABNTNBR17225AcessibilidadeDigitalparaWeb.pdf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[3] MOBILE TIME. ABNT lança norma de acessibilidade para conteúdo e aplicações digitais. 11 mar. 2025. https://www.mobiletime.com.br/noticias/11/03/2025/abnt-acessibilidade/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[4] FERRAZ, Reinaldo (Ceweb.br/NIC.br). A nova norma ABNT de acessibilidade na Web (workshop). https://acervo.ceweb.br/acervos/conteudo/1386e03c-4991-4473-b969-5cf4d8caeebb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[5] W3C. Diretrizes de Acessibilidade para Conteúdo Web (WCAG) 2.2, tradução pt-BR. https://www.w3.org/Translations/WCAG22-pt-BR/. Página de apoio: https://www.w3.org/WAI/WCAG22/Understanding/target-size-minimum.html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[6] MITSUE-LINKS. WCAG 2.2 Recommendations (contagem de critérios por nível). https://www.mitsue.co.jp/english/knowledge/column/20231006.html; SITEBRUNCH. WCAG 2.2. https://www.sitebrunch.com/en/facts/wcag-2-2; PASSIRO (fonte divergente na contagem). https://passiro.com/en-gb/resources/web-accessibility/what-is-wcag/versions/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[7] 3PLAY MEDIA. WCAG 2.2 is here: what you need to know. https://www.3playmedia.com/blog/the-wcag-2-2-draft-is-here/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[8] SENADO FEDERAL. Projeto de Lei nº 981, de 2022 (Mara Gabrilli). https://www25.senado.leg.br/web/atividade/materias/-/materia/152780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[9] CEWEB.br. Cartilha de Acessibilidade na Web (Lei 10.098/2000 e Decreto 5.296/2004). https://acervo.ceweb.br/acervos/conteudo/b65bb8ed-f380-46ae-98d4-9fd82de69e5a; CLAD. Um padrão de acessibilidade para portais e sítios públicos do governo brasileiro (e-MAG). https://cladista.clad.org//handle/123456789/6013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[10] ALLYANT. 4 best web accessibility testing tools (NVDA). https://allyant.com/4-best-web-accessibility-testing-tools-a-detailed-comparison/; UNIVERSIDADE DE BOLONHA. Browser extensions (axe DevTools, WAVE, Lighthouse). https://a11a.disi.unibo.it/wiki/topics/browser-extensions/page/2; CIDADE DE HELSINQUE. Tools for checking accessibility. https://saavutettavuusmalli.hel.fi/en/guidelines/tyokalut/</w:t>
      </w:r>
    </w:p>
    <w:p>
      <w:pPr>
        <w:spacing w:after="90"/>
        <w:ind w:left="360" w:hanging="360"/>
      </w:pPr>
      <w:r>
        <w:rPr>
          <w:rFonts w:ascii="Arial" w:cs="Arial" w:eastAsia="Arial" w:hAnsi="Arial"/>
          <w:sz w:val="18"/>
          <w:szCs w:val="18"/>
        </w:rPr>
        <w:t xml:space="preserve">[11] FACULDADE SENAC PERNAMBUCO. Enunciado da 1ª Atividade Avaliativa e Planos de Ensino de Data Science, 2026.2; requisitos do PI Saúde na Palma da Mão (Coding Mobile), materiais fornecidos pela equipe.</w:t>
      </w:r>
    </w:p>
    <w:p>
      <w:r>
        <w:br w:type="page"/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Apêndice A. Base analítica resumida (41 linhas)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Tabela de origem dos achados. Arquivo completo: 03_base_analitica.csv. Impacto vazio significa que o item não pontua (verificação).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300"/>
        <w:gridCol w:w="1000"/>
        <w:gridCol w:w="700"/>
        <w:gridCol w:w="800"/>
        <w:gridCol w:w="2278"/>
      </w:tblGrid>
      <w:tr>
        <w:trPr>
          <w:cantSplit/>
          <w:tblHeader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Recurso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Nível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Impacto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N21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Símbolo de acessibilidade em destaque e página de acessibilidade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LBI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Sem reentrada desnecessária de dados e com autopreenchimento (autocomplete)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Texto alternativo em imagens informativas e nome acessível em ícones-botão; imagens decorativas com alt vazio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Informação não transmitida apenas por cor (status do agendamento, links sublinhados)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Seletor de data e horário com controles nativos (input de data, select ou radio)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Aviso e possibilidade de estender o tempo de sessão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Rótulos associados aos campos e instruções nos formulários (login, cadastro, agendamento)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Identificação e sugestão de correção de erros em formulários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Operação por teclado nos fluxos principais com controles nativos, ordem lógica e sem armadilha de foco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Nome, função e valor em componentes; mensagens de status anunciadas (confirmação, erro)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Autenticação sem teste cognitivo: permitir colar senha e gerenciador de senhas, sem CAPTCHA de enigma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Título de cada página e idioma pt-BR declarado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Espaçamento de texto ajustável sem perda de conteúdo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Foco não obscurecido por elementos fixos (cabeçalho, rodapé)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Respeitar preferência de movimento reduzido e evitar animação automática longa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N20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Orientação da tela livre (manifest do PWA sem travar a orientação)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0,5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Indicador de foco de teclado visível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N15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Alvos de toque com no mínimo 24 por 24 px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Contraste mínimo de texto (4,5:1) e de componentes de interface (3:1)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Zoom de texto até 200% e reflow em 320 px de largura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5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Estrutura semântica: landmarks (header, nav, main, footer) e hierarquia de títulos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de altura da linha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Modo de destaque de links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Botões para aumentar e reduzir o tamanho da fonte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de espaçamento de texto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Botão para parar animações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Controle de saturação de cores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Cursor aumentado e destaque de cursor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Contraste reforçado de 7:1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Widget VLibras (tradução do texto para Libras)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Tema de alto contraste selecionável (tipos de contraste)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Guia de leitura (régua de leitura)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Linguagem simples e nível de leitura adequado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Ocultar imagens e gráficos decorativos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Tabela de dados como alternativa aos gráficos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Descrição textual e ARIA para gráficos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Paleta segura para daltonismo e padrões ou texturas além da cor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Navegação por teclado em filtros e gráficos interativos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8,0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Tooltip acessível por foco, teclado e leitor de tela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3,5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Condicional (só se houver gráficos)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Verificação: Lighthouse, axe DevTools, WAVE, teclado e NVDA nos fluxos principais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Verificação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4,0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-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Reserva de verificação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X03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Calendário customizado seguindo o padrão ARIA (alternativa a N13)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Boa prática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6,0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3</w:t>
            </w:r>
          </w:p>
        </w:tc>
        <w:tc>
          <w:tcPr>
            <w:tcW w:type="dxa" w:w="227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Alternativa (não somar)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Apêndice B. Ordem de prioridade e horas acumuladas (origem do Gráfico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000"/>
        <w:gridCol w:w="1000"/>
        <w:gridCol w:w="1700"/>
        <w:gridCol w:w="4338"/>
      </w:tblGrid>
      <w:tr>
        <w:trPr>
          <w:cantSplit/>
          <w:tblHeader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Ordem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Camada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Horas acumuladas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N21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N17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N07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N18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N04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N05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N14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DEB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Fazer no MVP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N09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N19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N20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N15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N08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N01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Adiar (2ª entrega)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P04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P05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P03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P06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P10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P08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X01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P11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39,0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P01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2,5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P09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X02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P07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T2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49,5</w:t>
            </w:r>
          </w:p>
        </w:tc>
        <w:tc>
          <w:tcPr>
            <w:tcW w:type="dxa" w:w="4338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Backlog (depois do núcleo)</w:t>
            </w:r>
          </w:p>
        </w:tc>
      </w:tr>
    </w:tbl>
    <w:p>
      <w:pPr>
        <w:spacing w:after="160" w:before="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Fonte: 06_grafico2_tabela.csv (dados sintéticos, set/2026).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Thayná Batista da Silva e Polyana Fontes |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de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rFonts w:ascii="Arial" w:cs="Arial" w:eastAsia="Arial" w:hAnsi="Arial"/>
        <w:color w:val="595959"/>
        <w:sz w:val="16"/>
        <w:szCs w:val="16"/>
      </w:rPr>
      <w:t xml:space="preserve">Data Science: Princípios e Técnicas | 1ª Atividade Avaliativa | Dossiê do Problema e dos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c20e9ba32c7c7f647e236e604975543b58cc68.png"/><Relationship Id="rId10" Type="http://schemas.openxmlformats.org/officeDocument/2006/relationships/image" Target="media/5f1167626644551f7bd89681c45542e1c22495a8.png"/><Relationship Id="rId11" Type="http://schemas.openxmlformats.org/officeDocument/2006/relationships/image" Target="media/1f7b0c7424f0d9a06aa5d6a535068ae73a9d38a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Problema e dos Dados: acessibilidade no PI Saúde na Palma da Mão</dc:title>
  <dc:creator>Thayná Batista da Silva e Polyana Fontes</dc:creator>
  <dc:description>1ª Atividade Avaliativa de Data Science: Princípios e Técnicas, 2026.2</dc:description>
  <cp:lastModifiedBy>Un-named</cp:lastModifiedBy>
  <cp:revision>1</cp:revision>
  <dcterms:created xsi:type="dcterms:W3CDTF">2026-09-29T01:00:27.732Z</dcterms:created>
  <dcterms:modified xsi:type="dcterms:W3CDTF">2026-09-29T01:00:27.733Z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